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3FB4F" w14:textId="77777777" w:rsidR="007C1D7E" w:rsidRDefault="0021558B">
      <w:pPr>
        <w:pStyle w:val="Title"/>
        <w:spacing w:before="240" w:after="160" w:line="276" w:lineRule="auto"/>
        <w:ind w:right="128"/>
        <w:rPr>
          <w:rFonts w:ascii="Cambria" w:eastAsia="Cambria" w:hAnsi="Cambria" w:cs="Cambria"/>
          <w:sz w:val="28"/>
          <w:szCs w:val="28"/>
        </w:rPr>
      </w:pPr>
      <w:bookmarkStart w:id="0" w:name="_heading=h.gjdgxs" w:colFirst="0" w:colLast="0"/>
      <w:bookmarkEnd w:id="0"/>
      <w:r>
        <w:rPr>
          <w:rFonts w:ascii="Cambria" w:eastAsia="Cambria" w:hAnsi="Cambria" w:cs="Cambria"/>
          <w:sz w:val="28"/>
          <w:szCs w:val="28"/>
        </w:rPr>
        <w:t>SERVICE AGREEMENT</w:t>
      </w:r>
    </w:p>
    <w:p w14:paraId="110CFE43" w14:textId="77777777" w:rsidR="007C1D7E" w:rsidRDefault="0021558B">
      <w:pPr>
        <w:spacing w:line="276" w:lineRule="auto"/>
        <w:ind w:right="128"/>
        <w:jc w:val="center"/>
        <w:rPr>
          <w:rFonts w:ascii="Cambria" w:eastAsia="Cambria" w:hAnsi="Cambria" w:cs="Cambria"/>
          <w:sz w:val="20"/>
          <w:szCs w:val="20"/>
          <w:highlight w:val="yellow"/>
        </w:rPr>
      </w:pPr>
      <w:r>
        <w:rPr>
          <w:rFonts w:ascii="Cambria" w:eastAsia="Cambria" w:hAnsi="Cambria" w:cs="Cambria"/>
          <w:sz w:val="20"/>
          <w:szCs w:val="20"/>
          <w:highlight w:val="yellow"/>
        </w:rPr>
        <w:t>2022.05.05</w:t>
      </w:r>
    </w:p>
    <w:p w14:paraId="3A830DDB" w14:textId="77777777" w:rsidR="007C1D7E" w:rsidRDefault="007C1D7E">
      <w:pPr>
        <w:keepLines/>
        <w:pBdr>
          <w:top w:val="nil"/>
          <w:left w:val="nil"/>
          <w:bottom w:val="nil"/>
          <w:right w:val="nil"/>
          <w:between w:val="nil"/>
        </w:pBdr>
        <w:tabs>
          <w:tab w:val="left" w:pos="567"/>
          <w:tab w:val="left" w:pos="3402"/>
          <w:tab w:val="right" w:pos="8505"/>
        </w:tabs>
        <w:spacing w:line="276" w:lineRule="auto"/>
        <w:ind w:right="128"/>
        <w:jc w:val="both"/>
        <w:rPr>
          <w:rFonts w:ascii="Cambria" w:eastAsia="Cambria" w:hAnsi="Cambria" w:cs="Cambria"/>
          <w:sz w:val="20"/>
          <w:szCs w:val="20"/>
        </w:rPr>
      </w:pPr>
    </w:p>
    <w:p w14:paraId="50B76944" w14:textId="77777777" w:rsidR="007C1D7E" w:rsidRDefault="0021558B">
      <w:pPr>
        <w:keepLines/>
        <w:tabs>
          <w:tab w:val="left" w:pos="567"/>
          <w:tab w:val="left" w:pos="3402"/>
          <w:tab w:val="right" w:pos="8505"/>
        </w:tabs>
        <w:spacing w:after="160" w:line="276" w:lineRule="auto"/>
        <w:ind w:left="141"/>
        <w:jc w:val="both"/>
        <w:rPr>
          <w:rFonts w:ascii="Cambria" w:eastAsia="Cambria" w:hAnsi="Cambria" w:cs="Cambria"/>
          <w:sz w:val="20"/>
          <w:szCs w:val="20"/>
          <w:highlight w:val="yellow"/>
        </w:rPr>
      </w:pPr>
      <w:r>
        <w:rPr>
          <w:rFonts w:ascii="Cambria" w:eastAsia="Cambria" w:hAnsi="Cambria" w:cs="Cambria"/>
          <w:sz w:val="20"/>
          <w:szCs w:val="20"/>
        </w:rPr>
        <w:t>Concluded by and between:</w:t>
      </w:r>
    </w:p>
    <w:tbl>
      <w:tblPr>
        <w:tblStyle w:val="a6"/>
        <w:tblW w:w="10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7"/>
        <w:gridCol w:w="5017"/>
      </w:tblGrid>
      <w:tr w:rsidR="007C1D7E" w14:paraId="14D275CE" w14:textId="77777777">
        <w:trPr>
          <w:jc w:val="center"/>
        </w:trPr>
        <w:tc>
          <w:tcPr>
            <w:tcW w:w="50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74E4652"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b/>
                <w:color w:val="000000"/>
                <w:sz w:val="18"/>
                <w:szCs w:val="18"/>
                <w:highlight w:val="yellow"/>
              </w:rPr>
              <w:t xml:space="preserve">CLIENT </w:t>
            </w:r>
            <w:r>
              <w:rPr>
                <w:rFonts w:ascii="Cambria" w:eastAsia="Cambria" w:hAnsi="Cambria" w:cs="Cambria"/>
                <w:b/>
                <w:color w:val="000000"/>
                <w:sz w:val="18"/>
                <w:szCs w:val="18"/>
                <w:highlight w:val="yellow"/>
              </w:rPr>
              <w:br/>
            </w:r>
            <w:r>
              <w:rPr>
                <w:rFonts w:ascii="Cambria" w:eastAsia="Cambria" w:hAnsi="Cambria" w:cs="Cambria"/>
                <w:color w:val="000000"/>
                <w:sz w:val="18"/>
                <w:szCs w:val="18"/>
                <w:highlight w:val="yellow"/>
              </w:rPr>
              <w:t>(HEREINAFTER REFERRED TO AS “CLIENT”)</w:t>
            </w:r>
            <w:r>
              <w:rPr>
                <w:rFonts w:ascii="Cambria" w:eastAsia="Cambria" w:hAnsi="Cambria" w:cs="Cambria"/>
                <w:b/>
                <w:color w:val="000000"/>
                <w:sz w:val="18"/>
                <w:szCs w:val="18"/>
                <w:highlight w:val="yellow"/>
              </w:rPr>
              <w:br/>
            </w:r>
            <w:r>
              <w:rPr>
                <w:rFonts w:ascii="Cambria" w:eastAsia="Cambria" w:hAnsi="Cambria" w:cs="Cambria"/>
                <w:color w:val="000000"/>
                <w:sz w:val="18"/>
                <w:szCs w:val="18"/>
                <w:highlight w:val="yellow"/>
              </w:rPr>
              <w:br/>
              <w:t>LEGAL NAME:</w:t>
            </w:r>
          </w:p>
          <w:p w14:paraId="00EC91DB"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highlight w:val="yellow"/>
              </w:rPr>
              <w:t xml:space="preserve">COMPANY CODE: </w:t>
            </w:r>
          </w:p>
          <w:p w14:paraId="0EA43EC7"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highlight w:val="yellow"/>
              </w:rPr>
              <w:t xml:space="preserve">REGISTERED SEAT: </w:t>
            </w:r>
          </w:p>
          <w:p w14:paraId="4E08FEF5"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highlight w:val="yellow"/>
              </w:rPr>
              <w:t xml:space="preserve">POSTAL ADDRESS: </w:t>
            </w:r>
          </w:p>
          <w:p w14:paraId="4A29D7DB"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highlight w:val="yellow"/>
              </w:rPr>
              <w:t xml:space="preserve">TAX NUMBER: </w:t>
            </w:r>
          </w:p>
          <w:p w14:paraId="424ABC6F" w14:textId="77777777" w:rsidR="007C1D7E" w:rsidRDefault="0021558B">
            <w:pPr>
              <w:keepLines/>
              <w:tabs>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highlight w:val="yellow"/>
              </w:rPr>
              <w:t xml:space="preserve">REPRESENTATIVE: </w:t>
            </w:r>
          </w:p>
        </w:tc>
        <w:tc>
          <w:tcPr>
            <w:tcW w:w="501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82BB9ED" w14:textId="77777777" w:rsidR="007C1D7E" w:rsidRDefault="0021558B">
            <w:pPr>
              <w:widowControl w:val="0"/>
              <w:rPr>
                <w:rFonts w:ascii="Cambria" w:eastAsia="Cambria" w:hAnsi="Cambria" w:cs="Cambria"/>
                <w:b/>
                <w:color w:val="000000"/>
                <w:sz w:val="18"/>
                <w:szCs w:val="18"/>
              </w:rPr>
            </w:pPr>
            <w:r>
              <w:rPr>
                <w:rFonts w:ascii="Cambria" w:eastAsia="Cambria" w:hAnsi="Cambria" w:cs="Cambria"/>
                <w:b/>
                <w:color w:val="000000"/>
                <w:sz w:val="18"/>
                <w:szCs w:val="18"/>
              </w:rPr>
              <w:t xml:space="preserve">SERVICE PROVIDER </w:t>
            </w:r>
          </w:p>
          <w:p w14:paraId="50889D80" w14:textId="77777777" w:rsidR="007C1D7E" w:rsidRDefault="0021558B">
            <w:pPr>
              <w:widowControl w:val="0"/>
              <w:rPr>
                <w:rFonts w:ascii="Cambria" w:eastAsia="Cambria" w:hAnsi="Cambria" w:cs="Cambria"/>
                <w:color w:val="000000"/>
                <w:sz w:val="18"/>
                <w:szCs w:val="18"/>
              </w:rPr>
            </w:pPr>
            <w:r>
              <w:rPr>
                <w:rFonts w:ascii="Cambria" w:eastAsia="Cambria" w:hAnsi="Cambria" w:cs="Cambria"/>
                <w:color w:val="000000"/>
                <w:sz w:val="18"/>
                <w:szCs w:val="18"/>
              </w:rPr>
              <w:t>(HEREINAFTER REFERRED TO AS “SERVICE PROVIDER”)</w:t>
            </w:r>
          </w:p>
          <w:p w14:paraId="240F20A0" w14:textId="77777777" w:rsidR="007C1D7E" w:rsidRDefault="007C1D7E">
            <w:pPr>
              <w:widowControl w:val="0"/>
              <w:rPr>
                <w:rFonts w:ascii="Cambria" w:eastAsia="Cambria" w:hAnsi="Cambria" w:cs="Cambria"/>
                <w:color w:val="000000"/>
                <w:sz w:val="18"/>
                <w:szCs w:val="18"/>
                <w:highlight w:val="yellow"/>
              </w:rPr>
            </w:pPr>
          </w:p>
          <w:p w14:paraId="73636DE4" w14:textId="77777777" w:rsidR="007C1D7E" w:rsidRDefault="0021558B">
            <w:pPr>
              <w:keepLines/>
              <w:tabs>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NAME: LINGUA INTELLEGENS, LLC</w:t>
            </w:r>
          </w:p>
          <w:p w14:paraId="487BC6E1"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REGISTERED SEAT: A. Vienuolio str. 4, Vilnius, Lithuania</w:t>
            </w:r>
          </w:p>
          <w:p w14:paraId="4F8973BD"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POSTAL ADDRESS: A. Vienuolio str. 4, cabinet no. 9, Vilnius, Lithuania</w:t>
            </w:r>
          </w:p>
          <w:p w14:paraId="6729F6DE"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BANK:</w:t>
            </w:r>
            <w:r>
              <w:rPr>
                <w:rFonts w:ascii="Cambria" w:eastAsia="Cambria" w:hAnsi="Cambria" w:cs="Cambria"/>
                <w:color w:val="000000"/>
                <w:sz w:val="18"/>
                <w:szCs w:val="18"/>
              </w:rPr>
              <w:tab/>
              <w:t xml:space="preserve"> SWEDBANK</w:t>
            </w:r>
          </w:p>
          <w:p w14:paraId="4FF0A15A"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BANK ACCOUNT NUMBER (IBAN): LT377300010153468716</w:t>
            </w:r>
          </w:p>
          <w:p w14:paraId="5D6AD974"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rPr>
            </w:pPr>
            <w:r>
              <w:rPr>
                <w:rFonts w:ascii="Cambria" w:eastAsia="Cambria" w:hAnsi="Cambria" w:cs="Cambria"/>
                <w:color w:val="000000"/>
                <w:sz w:val="18"/>
                <w:szCs w:val="18"/>
              </w:rPr>
              <w:t>COMPANY CODE: 304701806</w:t>
            </w:r>
          </w:p>
          <w:p w14:paraId="67251639" w14:textId="77777777" w:rsidR="007C1D7E" w:rsidRDefault="0021558B">
            <w:pPr>
              <w:keepLines/>
              <w:tabs>
                <w:tab w:val="left" w:pos="567"/>
                <w:tab w:val="left" w:pos="3402"/>
                <w:tab w:val="right" w:pos="8505"/>
              </w:tabs>
              <w:spacing w:line="276" w:lineRule="auto"/>
              <w:rPr>
                <w:rFonts w:ascii="Cambria" w:eastAsia="Cambria" w:hAnsi="Cambria" w:cs="Cambria"/>
                <w:color w:val="000000"/>
                <w:sz w:val="18"/>
                <w:szCs w:val="18"/>
                <w:highlight w:val="yellow"/>
              </w:rPr>
            </w:pPr>
            <w:r>
              <w:rPr>
                <w:rFonts w:ascii="Cambria" w:eastAsia="Cambria" w:hAnsi="Cambria" w:cs="Cambria"/>
                <w:color w:val="000000"/>
                <w:sz w:val="18"/>
                <w:szCs w:val="18"/>
              </w:rPr>
              <w:t>REPRESENTATIVE: Director Kotryna Tomkevičiūtė</w:t>
            </w:r>
          </w:p>
        </w:tc>
      </w:tr>
    </w:tbl>
    <w:p w14:paraId="68FE254B" w14:textId="77777777" w:rsidR="007C1D7E" w:rsidRDefault="0021558B">
      <w:pPr>
        <w:keepLines/>
        <w:tabs>
          <w:tab w:val="left" w:pos="567"/>
          <w:tab w:val="left" w:pos="3402"/>
          <w:tab w:val="right" w:pos="8505"/>
        </w:tabs>
        <w:spacing w:line="276" w:lineRule="auto"/>
        <w:ind w:left="141"/>
        <w:jc w:val="both"/>
        <w:rPr>
          <w:rFonts w:ascii="Cambria" w:eastAsia="Cambria" w:hAnsi="Cambria" w:cs="Cambria"/>
          <w:sz w:val="22"/>
          <w:szCs w:val="22"/>
        </w:rPr>
      </w:pPr>
      <w:r>
        <w:rPr>
          <w:rFonts w:ascii="Cambria" w:eastAsia="Cambria" w:hAnsi="Cambria" w:cs="Cambria"/>
          <w:sz w:val="20"/>
          <w:szCs w:val="20"/>
        </w:rPr>
        <w:br/>
        <w:t>on the other hand (hereinafter collectively referred to as the “Parties”). The Parties hereby agree as follows:</w:t>
      </w:r>
    </w:p>
    <w:p w14:paraId="78E996B1" w14:textId="77777777" w:rsidR="007C1D7E" w:rsidRDefault="0021558B">
      <w:pPr>
        <w:tabs>
          <w:tab w:val="left" w:pos="720"/>
        </w:tabs>
        <w:spacing w:before="240" w:after="160" w:line="276" w:lineRule="auto"/>
        <w:rPr>
          <w:rFonts w:ascii="Cambria" w:eastAsia="Cambria" w:hAnsi="Cambria" w:cs="Cambria"/>
          <w:b/>
          <w:sz w:val="18"/>
          <w:szCs w:val="18"/>
        </w:rPr>
      </w:pPr>
      <w:r>
        <w:rPr>
          <w:rFonts w:ascii="Cambria" w:eastAsia="Cambria" w:hAnsi="Cambria" w:cs="Cambria"/>
          <w:b/>
          <w:sz w:val="18"/>
          <w:szCs w:val="18"/>
        </w:rPr>
        <w:t>1 LICENSE GRANT</w:t>
      </w:r>
    </w:p>
    <w:p w14:paraId="34470C7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As used in this Agreement, the term “Services” means the plagiarism detection software created and owned by Service Provider and offered for license under the trademark “Oxsico” that compares submitted text materials (“Submitted Text”) against a database to identify materials that may have been previously published or plagiarized, and produces a report showing instances of overlapping text (“Report”). Subject to the terms and conditions of this Agreement, Service Provider grants Client a non-transferable, non-exclusive license to use the Services. Client is responsible for ensuring its employees and agents comply with the terms of this Agreement, and shall be responsible for any breach by any of the foregoing Parties. The Services are licensed, not sold. Except for the limited license granted above, Service Provider and its licensors retain all right, title and interest in the Services and all proprietary rights in and to the Services, including copyrights, patents, trademarks and trade secret rights.</w:t>
      </w:r>
    </w:p>
    <w:p w14:paraId="24B54CE7"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LIMITATIONS</w:t>
      </w:r>
    </w:p>
    <w:p w14:paraId="5A540B70"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The license granted in this Agreement is restricted as follows:</w:t>
      </w:r>
    </w:p>
    <w:p w14:paraId="6547B980"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Use of the Services shall be for Client’s internal purposes only, defined to include both Client’s internal and external steps in the document control process.</w:t>
      </w:r>
    </w:p>
    <w:p w14:paraId="0BA46056"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Client may not reverse engineer, decompile, disassemble, modify or create works derivative of the Services.</w:t>
      </w:r>
    </w:p>
    <w:p w14:paraId="3C1067E2"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Client may not assign, sublicense, rent, timeshare, loan, lease or otherwise transfer the Services, or directly or indirectly permit any third party to use or copy the Services. Client will keep any passwords associated with the use of the Services in strict confidence, and will not share such passwords with any third party. Client will be solely responsible for all use of the Services made with Client’s passwords, if any.</w:t>
      </w:r>
    </w:p>
    <w:p w14:paraId="5C6E1C1F"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All use of the Services shall be in accordance with the Terms of Use for the oxsico.com site, incorporated herein by this reference, as may be revised by Service Provider from time-to-time. Client will be notified of any revisions to Terms of Use and any such revisions will be posted on the site. Continued use of the Services after receipt by Client of notice of the revisions shall constitute Client’s acceptance of such revisions to the policy.</w:t>
      </w:r>
    </w:p>
    <w:p w14:paraId="0739B4FF"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Client shall not remove any proprietary notices (e.g., copyright and trademark notices, banners) from either the Services or any documentation, content, or reports provided by Service Provider.</w:t>
      </w:r>
    </w:p>
    <w:p w14:paraId="4BE1450C"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Client shall use commercially reasonable efforts to ensure its use of the Service complies with applicable local, state, and federal laws.</w:t>
      </w:r>
    </w:p>
    <w:p w14:paraId="1C22AFDC"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CLIENT CONTENT</w:t>
      </w:r>
    </w:p>
    <w:p w14:paraId="79C13DDF"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Client grants Service Provider a non-exclusive, royalty-free license to use the full text of journal articles, conference proceedings, articles, books, book chapters, theses and dissertations (collectively, “Client Content”) solely for purposes of creating matching reports (the “Reports”) that describe examples of text matching identified through use of the Services. The Non-textual components included as part of such articles, proceedings, books and chapters, theses and dissertations and datasets, and Submitted Text are not deemed to be “Client Content” for purposes of this Agreement. Copies of Submitted Text will be used and retained by Service Provider for the sole purpose of providing Reports to Client. Client Content will be hosted on servers operated by Service Provider or its agents; however, Service Provider shall be responsible for any breach of this Agreement by its agents, including without limitation any failure to maintain the security of the Client Content in accordance with Section 3.4 below. The Client Content may be used solely for the purpose of indexing and comparing documents in order to generate the Reports. By way of example but not limitation, Service Provider may not resell, make derivative products from or sub-license (except to the extent required to perform this Agreement) or repurpose (except to the extent required to perform this Agreement) the Client Content or any portion thereof. As between Service Provider and Client, Client shall retain all rights, title, copyright, and other intellectual or proprietary rights in the Client Content.</w:t>
      </w:r>
    </w:p>
    <w:p w14:paraId="056F81A3"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The Client Content or any part thereof shall be removed upon receipt of a request for removal from Client as promptly as is commercially reasonable but in no event more than ten (10) business days from receipt of such request. Such requests may be made at any time and for any reason whatsoever. The means for requesting such removal may include sending a request to an email address that Service Provider provides for this purpose, or by sending a written request by express courier. The notice of removal shall also specify the Client Content to be removed.</w:t>
      </w:r>
    </w:p>
    <w:p w14:paraId="21CCF3CD"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Service Provider will maintain the Client Content as a separate node in the Service Provider database. Service Provider shall use commercially reasonable measures to secure the servers on which the Client Content resides from unauthorized access and use, and shall at a minimum utilize technology that is at least as secure as the protection it provides for its own proprietary content and for other third-party proprietary content included in the Service Provider system. Service Providers’ obligation to provide security for the Client Content shall include, but not be limited to, the requirement that Service Provider update such technological protections as is commercially reasonable and as vulnerabilities in existing technological protections are identified. Client shall have the right, no more than twice a year, at a mutually agreed upon date and time, to conduct security audits of the systems on which the Client Content reside to ensure compliance with this Section. Such audits shall not unreasonably interfere with Service Providers’ business and Service Provider shall have no liability for any breach of security or other failures to comply with the terms of this Agreement resulting from Client’s activities in connection with the audit. In the event Client desires to use a third party to conduct the audit, such third party shall execute Service Providers’ then-current non-disclosure agreement before being granted access to Service Providers’ facilities and systems.</w:t>
      </w:r>
    </w:p>
    <w:p w14:paraId="4EB1D20B"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Client shall be entitled to the number of accounts with Service Provider that are reasonably necessary for Client to make use of the Service, with no set limit on the number of accounts on a </w:t>
      </w:r>
      <w:r>
        <w:rPr>
          <w:rFonts w:ascii="Cambria" w:eastAsia="Cambria" w:hAnsi="Cambria" w:cs="Cambria"/>
          <w:i/>
          <w:sz w:val="18"/>
          <w:szCs w:val="18"/>
        </w:rPr>
        <w:t>per-client</w:t>
      </w:r>
      <w:r>
        <w:rPr>
          <w:rFonts w:ascii="Cambria" w:eastAsia="Cambria" w:hAnsi="Cambria" w:cs="Cambria"/>
          <w:sz w:val="18"/>
          <w:szCs w:val="18"/>
        </w:rPr>
        <w:t xml:space="preserve"> basis.</w:t>
      </w:r>
    </w:p>
    <w:p w14:paraId="16D3D048"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Client is responsible for verifying that its inhouse and outside staff and reviewers do not use their access to the Service as a “back-door” method for getting free full-text access to included content and Services. The steps to be used to accomplish this should include:</w:t>
      </w:r>
    </w:p>
    <w:p w14:paraId="56EA1D4A"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limiting access to the Service to those employees and outside contractors who, in Client’s reasonable judgment, have a need to use the service; </w:t>
      </w:r>
    </w:p>
    <w:p w14:paraId="6E72967E"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requiring each employee and contractor using the Service to register using his or her real name and current job title; </w:t>
      </w:r>
    </w:p>
    <w:p w14:paraId="3D044E38"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limiting submissions to the Service for checking to those that pertain to a publication published by Client; </w:t>
      </w:r>
    </w:p>
    <w:p w14:paraId="69398A4A"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taking reasonable steps to ensure that account information and passwords used to access the Service are kept confidential and are not shared beyond the permitted users of the Service; </w:t>
      </w:r>
    </w:p>
    <w:p w14:paraId="5F7B31D1"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submitting to an audit of users, to be conducted by Service Provider at its own expense no more often than once per year, to determine if unauthorized users are being given or are getting access to the Services through Client; </w:t>
      </w:r>
    </w:p>
    <w:p w14:paraId="1432FF36"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taking reasonable steps to monitor the use and potential abuse of the Service.</w:t>
      </w:r>
    </w:p>
    <w:p w14:paraId="03757DC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Client shall exercise its independent professional judgment in, and assume sole and exclusive responsibility for, determining the actual existence of plagiarism in the Submitted Text under the acknowledgment and understanding that the Reports are only tools for detecting textual similarities between compared works and do not determine conclusively the existence of plagiarism.</w:t>
      </w:r>
    </w:p>
    <w:p w14:paraId="4D66255C"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Any disclosure of a Report to any third party is at the Client’s sole risk.</w:t>
      </w:r>
    </w:p>
    <w:p w14:paraId="62B428DD"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On the Client’s request Service Provider shall supply Client with weekly and monthly machine-readable usage reports, showing how many documents checks Client has performed during the time period covered by the report, broken down by account subscriber. </w:t>
      </w:r>
    </w:p>
    <w:p w14:paraId="34909C73"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 xml:space="preserve">SUSPENSION OF ACCESS </w:t>
      </w:r>
    </w:p>
    <w:p w14:paraId="2ACEAC6A" w14:textId="77777777" w:rsidR="007C1D7E" w:rsidRDefault="0021558B">
      <w:pPr>
        <w:numPr>
          <w:ilvl w:val="1"/>
          <w:numId w:val="2"/>
        </w:numPr>
        <w:tabs>
          <w:tab w:val="left" w:pos="709"/>
        </w:tabs>
        <w:spacing w:after="160"/>
        <w:ind w:hanging="418"/>
        <w:jc w:val="both"/>
        <w:rPr>
          <w:rFonts w:ascii="Cambria" w:eastAsia="Cambria" w:hAnsi="Cambria" w:cs="Cambria"/>
          <w:sz w:val="18"/>
          <w:szCs w:val="18"/>
        </w:rPr>
      </w:pPr>
      <w:r>
        <w:rPr>
          <w:rFonts w:ascii="Cambria" w:eastAsia="Cambria" w:hAnsi="Cambria" w:cs="Cambria"/>
          <w:sz w:val="18"/>
          <w:szCs w:val="18"/>
        </w:rPr>
        <w:t xml:space="preserve">Service Provider may, in its sole discretion, suspend access to all or any portion of the Services to: </w:t>
      </w:r>
    </w:p>
    <w:p w14:paraId="55B920AB" w14:textId="77777777" w:rsidR="007C1D7E" w:rsidRDefault="0021558B">
      <w:pPr>
        <w:numPr>
          <w:ilvl w:val="2"/>
          <w:numId w:val="2"/>
        </w:numPr>
        <w:tabs>
          <w:tab w:val="left" w:pos="709"/>
        </w:tabs>
        <w:spacing w:after="160"/>
        <w:jc w:val="both"/>
        <w:rPr>
          <w:rFonts w:ascii="Cambria" w:eastAsia="Cambria" w:hAnsi="Cambria" w:cs="Cambria"/>
        </w:rPr>
      </w:pPr>
      <w:r>
        <w:rPr>
          <w:rFonts w:ascii="Cambria" w:eastAsia="Cambria" w:hAnsi="Cambria" w:cs="Cambria"/>
          <w:sz w:val="18"/>
          <w:szCs w:val="18"/>
        </w:rPr>
        <w:t xml:space="preserve">prevent damages to, or degradation of, the Services; </w:t>
      </w:r>
    </w:p>
    <w:p w14:paraId="3A2728DF" w14:textId="77777777" w:rsidR="007C1D7E" w:rsidRDefault="0021558B">
      <w:pPr>
        <w:numPr>
          <w:ilvl w:val="2"/>
          <w:numId w:val="2"/>
        </w:numPr>
        <w:tabs>
          <w:tab w:val="left" w:pos="709"/>
        </w:tabs>
        <w:spacing w:after="160"/>
        <w:jc w:val="both"/>
        <w:rPr>
          <w:rFonts w:ascii="Cambria" w:eastAsia="Cambria" w:hAnsi="Cambria" w:cs="Cambria"/>
        </w:rPr>
      </w:pPr>
      <w:r>
        <w:rPr>
          <w:rFonts w:ascii="Cambria" w:eastAsia="Cambria" w:hAnsi="Cambria" w:cs="Cambria"/>
          <w:sz w:val="18"/>
          <w:szCs w:val="18"/>
        </w:rPr>
        <w:t xml:space="preserve">comply with any law, regulation, court order, or other governmental requests; </w:t>
      </w:r>
    </w:p>
    <w:p w14:paraId="0B57CA4F" w14:textId="77777777" w:rsidR="007C1D7E" w:rsidRDefault="0021558B">
      <w:pPr>
        <w:numPr>
          <w:ilvl w:val="2"/>
          <w:numId w:val="2"/>
        </w:numPr>
        <w:tabs>
          <w:tab w:val="left" w:pos="709"/>
        </w:tabs>
        <w:spacing w:after="160"/>
        <w:jc w:val="both"/>
        <w:rPr>
          <w:rFonts w:ascii="Cambria" w:eastAsia="Cambria" w:hAnsi="Cambria" w:cs="Cambria"/>
        </w:rPr>
      </w:pPr>
      <w:r>
        <w:rPr>
          <w:rFonts w:ascii="Cambria" w:eastAsia="Cambria" w:hAnsi="Cambria" w:cs="Cambria"/>
          <w:sz w:val="18"/>
          <w:szCs w:val="18"/>
        </w:rPr>
        <w:t>otherwise, protect Service Provider from potential legal liability;</w:t>
      </w:r>
    </w:p>
    <w:p w14:paraId="41F8DD44" w14:textId="77777777" w:rsidR="007C1D7E" w:rsidRDefault="0021558B">
      <w:pPr>
        <w:numPr>
          <w:ilvl w:val="2"/>
          <w:numId w:val="2"/>
        </w:numPr>
        <w:tabs>
          <w:tab w:val="left" w:pos="709"/>
        </w:tabs>
        <w:spacing w:after="160"/>
        <w:jc w:val="both"/>
        <w:rPr>
          <w:rFonts w:ascii="Cambria" w:eastAsia="Cambria" w:hAnsi="Cambria" w:cs="Cambria"/>
        </w:rPr>
      </w:pPr>
      <w:r>
        <w:rPr>
          <w:rFonts w:ascii="Cambria" w:eastAsia="Cambria" w:hAnsi="Cambria" w:cs="Cambria"/>
          <w:sz w:val="18"/>
          <w:szCs w:val="18"/>
        </w:rPr>
        <w:t xml:space="preserve">address a breach of the Terms of Use or this Agreement. </w:t>
      </w:r>
    </w:p>
    <w:p w14:paraId="034D45C2" w14:textId="77777777" w:rsidR="007C1D7E" w:rsidRDefault="0021558B">
      <w:pPr>
        <w:numPr>
          <w:ilvl w:val="1"/>
          <w:numId w:val="2"/>
        </w:numPr>
        <w:tabs>
          <w:tab w:val="left" w:pos="709"/>
        </w:tabs>
        <w:spacing w:after="160"/>
        <w:ind w:hanging="418"/>
        <w:jc w:val="both"/>
        <w:rPr>
          <w:rFonts w:ascii="Cambria" w:eastAsia="Cambria" w:hAnsi="Cambria" w:cs="Cambria"/>
          <w:sz w:val="18"/>
          <w:szCs w:val="18"/>
        </w:rPr>
      </w:pPr>
      <w:r>
        <w:rPr>
          <w:rFonts w:ascii="Cambria" w:eastAsia="Cambria" w:hAnsi="Cambria" w:cs="Cambria"/>
          <w:sz w:val="18"/>
          <w:szCs w:val="18"/>
        </w:rPr>
        <w:t xml:space="preserve">Service Provider shall use reasonable efforts to provide Client with notice prior to or promptly following any suspension of the Services. Service Provider shall restore access to the Services as soon as the event giving rise to suspension has been resolved. </w:t>
      </w:r>
    </w:p>
    <w:p w14:paraId="4679E4F7"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 xml:space="preserve">PRICING AND PAYMENT </w:t>
      </w:r>
    </w:p>
    <w:p w14:paraId="4D51A821"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Pricing for the Services and all licenses granted by Service Provider hereunder is set forth in Exhibit A. All payments are due ten (10) working days from the date of invoice. </w:t>
      </w:r>
    </w:p>
    <w:p w14:paraId="50ABE70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Payments are deemed late thereafter and shall accrue interest at the lesser of 1.5% per month or the maximum rate allowable by law.</w:t>
      </w:r>
    </w:p>
    <w:p w14:paraId="6DCA1C94"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SUPPORT</w:t>
      </w:r>
    </w:p>
    <w:p w14:paraId="7DB74655"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Service Provider shall provide reasonable e-mail and telephone support to Client via Client’s sole appointed primary account administrator during Service Provider normal support hours, with any additional support provided according to the terms of an Additional Support Agreement to be entered into by the Parties.</w:t>
      </w:r>
    </w:p>
    <w:p w14:paraId="7B1232B8"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TERM AND TERMINATION</w:t>
      </w:r>
    </w:p>
    <w:p w14:paraId="0430C930"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The term (“Term”) of this Agreement shall consist of the Initial Term and any Renewal Terms, as defined herein. The Initial Term of this Agreement shall commence on the last signature date below and extend for a period of one (1) year. Thereafter, provided Client has paid the applicable fees, the Agreement shall automatically renew for additional one (1) year periods (each a “Renewal Term”), unless either Party gives the other Party written notice of its intent not to renew at least thirty (30) days prior to the expiration of the then-current term. </w:t>
      </w:r>
    </w:p>
    <w:p w14:paraId="5EA2F227"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In the event of a material breach of this Agreement, the non-breaching Party shall provide the other Party written notice of such breach and such other Party shall have a period of thirty (30) days in which to cure the breach, except in the case of a payment breach, in which case the cure period shall be fifteen (15) business days. </w:t>
      </w:r>
    </w:p>
    <w:p w14:paraId="2C30B975"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In the event the breaching Party fails to cure the breach within the cure period, in addition to whatever other remedies may be available at law or equity, the non-breaching Party shall have the right to terminate this Agreement upon providing the other Party written notice of termination. </w:t>
      </w:r>
    </w:p>
    <w:p w14:paraId="6447779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bookmarkStart w:id="1" w:name="_heading=h.30j0zll" w:colFirst="0" w:colLast="0"/>
      <w:bookmarkEnd w:id="1"/>
      <w:r>
        <w:rPr>
          <w:rFonts w:ascii="Cambria" w:eastAsia="Cambria" w:hAnsi="Cambria" w:cs="Cambria"/>
          <w:sz w:val="18"/>
          <w:szCs w:val="18"/>
        </w:rPr>
        <w:t>Sections 10 through 13 shall survive any expiration or termination of this Agreement, regardless of the reason for such termination, and shall continue in full force and effect thereafter. Upon termination of this Agreement, Service Provider shall promptly delete all Client Content from the Services and cease any and all use thereof. Service Provider will certify the removal and destruction of the Client Content from its servers.</w:t>
      </w:r>
    </w:p>
    <w:p w14:paraId="24C3137A"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PERFORMANCE METRICS</w:t>
      </w:r>
    </w:p>
    <w:p w14:paraId="6ACEF753"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Service Provider agrees that Client Content and all updates and revisions thereto made available to it by Client shall be incorporated into the Service and indexed within twenty-hour (24) hours of such availability. Service Provider time for performance hereunder shall be extended as necessary to accommodate any documented technological problems that interfere with Service Provider timely performance hereunder, provided that Service Provider takes prompt steps to resolve such problems in the shortest period of time that is commercially reasonable. Notwithstanding the foregoing, consistent and repeated failure by Service Provider to comply with the time for performance set forth in this Section shall be deemed a material breach of this Agreement.</w:t>
      </w:r>
    </w:p>
    <w:p w14:paraId="20F31A59"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AVAILABILITY</w:t>
      </w:r>
    </w:p>
    <w:p w14:paraId="29469117"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Service Provider shall use reasonable efforts to make the Services, to the extent applicable, available for access over the Internet at least 98% of the time during each month of the Term, except for scheduled maintenance and repairs, failures related to Client’s systems and Internet access, and any interruption in the Services due to causes beyond the control of Service Provider or that are not reasonably foreseeable by Service Provider, including, without limitation: loss or theft of data; interruption or failure of telecommunication or digital transmission links; Internet slow-downs or failure; failures or default of third party software, vendors, or products; and communications, network/ internet connection, or utility interruption or failure. </w:t>
      </w:r>
    </w:p>
    <w:p w14:paraId="1338E125"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In the event Service Provider fails to achieve the foregoing availability requirement, Service Provider shall use commercially reasonable efforts to correct such loss or interruption as quickly as practicable.</w:t>
      </w:r>
    </w:p>
    <w:p w14:paraId="08220E5A"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WARRANTY AND DISCLAIMER; LIMITATION OF LIABILITY</w:t>
      </w:r>
    </w:p>
    <w:p w14:paraId="1D8D583B"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Limited Warranty; Disclaimer. Service Provider warrants that to the best of its knowledge, the Services (excluding any content or materials provided by Client or any third party) do not infringe the intellectual property rights of any third party. During the Term, Service Provider warrants that it shall use reasonable efforts to provide the Services and support as set forth herein and as described on Service Provider’s site and published documentation. </w:t>
      </w:r>
    </w:p>
    <w:p w14:paraId="527E987D"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Except as set forth in this section 10.1, the services (including the reports) are provided on an "as is" and "as available" basis. Service provider specifically disclaims all warranties of any kind, whether express, implied or statutory, including but not limited to any warranties of merchantability, fitness for a particular purpose, quiet enjoyment, quality of information, non-infringement and title. No warranty is made that the services will be timely, secure or error-free. In jurisdictions not allowing the limitation or exclusion of certain warranties, service provider warranty shall be limited to the greatest extent permitted by law.</w:t>
      </w:r>
    </w:p>
    <w:p w14:paraId="5DACD11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The services are accessed and used over the internet. Client acknowledges and agrees that service provider does not operate or control the internet and that: (i) viruses, worms, trojan horses, or other undesirable data or software; or (ii) unauthorized users (e.g., hackers) may attempt to obtain access to and damage client’s data, computers, or networks. Service provider shall not be responsible for such activities. (c) regardless of the type of claim or the nature of the cause of action, client agrees that in no event will service provider or its affiliates, officers, employees, agents or licensors, be liable for: (i) any decision made or action taken or not taken in reliance upon the information contained in the matching reports; (ii) for any liability arising from client’s disclosure of a matching report to any third party, or (iii) for any indirect, special, incidental, consequential, exemplary or punitive damages, including but not limited to loss of revenues and loss of profits, even if service provider has been advised as to the possibility of such damages.</w:t>
      </w:r>
    </w:p>
    <w:p w14:paraId="49DD7B53"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Except with respect to service provider indemnity obligation in section 11.2, service provider and its affiliates, officers, employees, agents or licensors total cumulative liability arising under or related to this agreement and in connection with the services, whether in contract, tort or otherwise, will not exceed the amounts, if any, paid by client for the services in the twelve (12) months immediately preceding the event giving rise to liability. Some jurisdictions do not allow the limitation or exclusion of liability for incidental or consequential damages; in those jurisdictions service provider liability under this agreement shall be limited to the greatest extent permitted by law. The limitation of liability and liability cap shall apply even if the express warranties set forth above fail of their essential purpose.</w:t>
      </w:r>
    </w:p>
    <w:p w14:paraId="50D10C8C"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INDEMNIFICATION</w:t>
      </w:r>
    </w:p>
    <w:p w14:paraId="7EDB3830"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To the extent permitted by applicable law, Client shall defend and indemnify Service Provider and hold it and its affiliates, officers, directors, employees, agents, and licensors (“Indemnified Parties”) harmless from any and all claims, losses, deficiencies, damages, liabilities, costs, and expenses (including but not limited to reasonable attorneys’ fees and all related costs and expenses) incurred by the Indemnified Parties as a result of any claim, judgment, or adjudication related to or arising from Client’s breach of its obligations under this Agreement or Client Content. To qualify for the foregoing indemnity obligation, the Indemnified Parties must: </w:t>
      </w:r>
    </w:p>
    <w:p w14:paraId="3B0787C4"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give Client prompt written notice of any claim;</w:t>
      </w:r>
    </w:p>
    <w:p w14:paraId="2AF04DA2"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allow Client to control, and fully cooperate with Client in, the defense and all related negotiations. </w:t>
      </w:r>
    </w:p>
    <w:p w14:paraId="5FDF1B1D"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Client shall have no obligation to indemnify Service Provider under this Section to the extent that a claim arises from:</w:t>
      </w:r>
    </w:p>
    <w:p w14:paraId="0D200A85"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the Services (excluding the Client Content); </w:t>
      </w:r>
    </w:p>
    <w:p w14:paraId="214041C5"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Service Provider failure to use the Client Content and Submitted Text in accordance with the terms of this Agreement; or </w:t>
      </w:r>
    </w:p>
    <w:p w14:paraId="3927F7E9"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any matter for which Service Provider is obligated to indemnify Client hereunder. </w:t>
      </w:r>
    </w:p>
    <w:p w14:paraId="4D5E7B36"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Service Provider shall indemnify, defend, and hold Client and hold it and its affiliates, officers, directors, employees, agents, and licensors (“Indemnified Parties”) harmless from any and all claims, losses, deficiencies, damages, liabilities, costs, and expenses (including but not limited to reasonable attorneys’ fees and all related costs and expenses) incurred by the Indemnified Parties as a result of any claim, judgment, or adjudication related to or arising from a third party that:</w:t>
      </w:r>
    </w:p>
    <w:p w14:paraId="3CA9B117"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Client’s licensed use of the Services, as permitted hereunder, infringes the copyrights or U.S. patent or other intellectual property rights of the third party; </w:t>
      </w:r>
    </w:p>
    <w:p w14:paraId="54FB9D77" w14:textId="77777777" w:rsidR="007C1D7E" w:rsidRDefault="0021558B">
      <w:pPr>
        <w:numPr>
          <w:ilvl w:val="2"/>
          <w:numId w:val="2"/>
        </w:numPr>
        <w:tabs>
          <w:tab w:val="left" w:pos="709"/>
        </w:tabs>
        <w:spacing w:after="160" w:line="276" w:lineRule="auto"/>
        <w:jc w:val="both"/>
        <w:rPr>
          <w:rFonts w:ascii="Cambria" w:eastAsia="Cambria" w:hAnsi="Cambria" w:cs="Cambria"/>
        </w:rPr>
      </w:pPr>
      <w:r>
        <w:rPr>
          <w:rFonts w:ascii="Cambria" w:eastAsia="Cambria" w:hAnsi="Cambria" w:cs="Cambria"/>
          <w:sz w:val="18"/>
          <w:szCs w:val="18"/>
        </w:rPr>
        <w:t xml:space="preserve">Service Provider has violated any state or federal privacy law relating to information provided by Client hereunder. </w:t>
      </w:r>
    </w:p>
    <w:p w14:paraId="53D4BD77"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To qualify for the foregoing indemnity obligation, the Indemnified Parties must give Service Provider prompt written notice of a claim and allow Service Provider to control, and fully cooperate with Service Provider in, the defense and all related negotiations. Service Provider shall have no obligation to indemnify Client under this Section to the extent the infringement claim arises from any content or other intellectual property provided by Client, including the Client Content and the Submitted Text; any other content contained in Service Provider databases against which works are compared for potential instances of plagiarism except to the extent that such claims arise from the use of the Services that would not otherwise have arisen from use of the content alone; Clients failure to use the Services in accordance with this Agreement; or any matter for which Client is obligated to indemnify Service Provider hereunder.</w:t>
      </w:r>
    </w:p>
    <w:p w14:paraId="237552E7"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GOVERNING LAW AND DISPUTE RESOLUTION</w:t>
      </w:r>
    </w:p>
    <w:p w14:paraId="66FA2522"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This Agreement shall be governed by the laws of Lithuania, European Union, excluding its conflict of laws rules. The parties hereby consent to the exclusive personal jurisdiction of and venue in state courts located in the jurisdiction in which the defendant in any such action resides.</w:t>
      </w:r>
    </w:p>
    <w:p w14:paraId="256F728E"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GENERAL</w:t>
      </w:r>
    </w:p>
    <w:p w14:paraId="3F8A65F6"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 xml:space="preserve">This Agreement constitutes the entire agreement and understanding between the Parties with respect to the subject matter hereof and supersedes and replaces any and all prior or contemporaneous written or oral agreements. Except as provided herein, all amendments or modifications to this Agreement must be by actual hardcopy execution by an authorized signatory of each Party. A Party’s failure to insist upon or enforce strict performance of any provision of this Agreement shall not be construed as a waiver of any provision or right. If any provision of this Agreement is held to be invalid or unenforceable, such determination shall not affect the balance of the Agreement, which shall remain in full force and effect and the offending provision shall be modified to the minimum extent required to render the provision enforceable. Client may not assign or transfer this Agreement without the written consent of Service Provider, which consent shall not be unreasonably withheld or delayed. Service Provider may assign this agreement in the event of acquisition, merger, corporate reorganization or similar change of control event. </w:t>
      </w:r>
    </w:p>
    <w:p w14:paraId="3B7666EF"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Service Provider may, with Client’s prior written permission, use and reference Client’s name as a subscriber to the Services in connection with truthful advertising or promotion of the Services. There are no third-party beneficiaries of this Agreement. Service Provider shall not be responsible for any delays, errors, failures to perform, interruptions or disruptions in the Services caused by any acts of God, strikes, lockouts, riots, acts of war, changes in law or regulations, fire, flood, earthquake, storm, power failure or failures of the Internet.</w:t>
      </w:r>
    </w:p>
    <w:p w14:paraId="4857AD20" w14:textId="77777777" w:rsidR="007C1D7E" w:rsidRDefault="0021558B">
      <w:pPr>
        <w:numPr>
          <w:ilvl w:val="0"/>
          <w:numId w:val="2"/>
        </w:numPr>
        <w:tabs>
          <w:tab w:val="left" w:pos="709"/>
        </w:tabs>
        <w:spacing w:after="160" w:line="276" w:lineRule="auto"/>
        <w:jc w:val="both"/>
        <w:rPr>
          <w:rFonts w:ascii="Cambria" w:eastAsia="Cambria" w:hAnsi="Cambria" w:cs="Cambria"/>
          <w:b/>
          <w:sz w:val="18"/>
          <w:szCs w:val="18"/>
        </w:rPr>
      </w:pPr>
      <w:r>
        <w:rPr>
          <w:rFonts w:ascii="Cambria" w:eastAsia="Cambria" w:hAnsi="Cambria" w:cs="Cambria"/>
          <w:b/>
          <w:sz w:val="18"/>
          <w:szCs w:val="18"/>
        </w:rPr>
        <w:t>AUTHORIZATION</w:t>
      </w:r>
    </w:p>
    <w:p w14:paraId="66997758" w14:textId="77777777" w:rsidR="007C1D7E" w:rsidRDefault="0021558B">
      <w:pPr>
        <w:numPr>
          <w:ilvl w:val="1"/>
          <w:numId w:val="2"/>
        </w:numPr>
        <w:tabs>
          <w:tab w:val="left" w:pos="709"/>
        </w:tabs>
        <w:spacing w:after="160" w:line="276" w:lineRule="auto"/>
        <w:ind w:hanging="418"/>
        <w:jc w:val="both"/>
        <w:rPr>
          <w:rFonts w:ascii="Cambria" w:eastAsia="Cambria" w:hAnsi="Cambria" w:cs="Cambria"/>
          <w:sz w:val="18"/>
          <w:szCs w:val="18"/>
        </w:rPr>
      </w:pPr>
      <w:r>
        <w:rPr>
          <w:rFonts w:ascii="Cambria" w:eastAsia="Cambria" w:hAnsi="Cambria" w:cs="Cambria"/>
          <w:sz w:val="18"/>
          <w:szCs w:val="18"/>
        </w:rPr>
        <w:t>By signing this Agreement or by accessing, or using any of the Services, the undersigned indicates that he or she has the authority to bind Client to the terms of this Agreement.</w:t>
      </w:r>
    </w:p>
    <w:p w14:paraId="28845931" w14:textId="77777777" w:rsidR="007C1D7E" w:rsidRDefault="007C1D7E">
      <w:pPr>
        <w:numPr>
          <w:ilvl w:val="1"/>
          <w:numId w:val="2"/>
        </w:numPr>
        <w:tabs>
          <w:tab w:val="left" w:pos="709"/>
        </w:tabs>
        <w:spacing w:after="160" w:line="276" w:lineRule="auto"/>
        <w:ind w:hanging="418"/>
        <w:jc w:val="both"/>
        <w:rPr>
          <w:rFonts w:ascii="Cambria" w:eastAsia="Cambria" w:hAnsi="Cambria" w:cs="Cambria"/>
          <w:sz w:val="18"/>
          <w:szCs w:val="18"/>
        </w:rPr>
      </w:pPr>
    </w:p>
    <w:tbl>
      <w:tblPr>
        <w:tblStyle w:val="a7"/>
        <w:tblW w:w="9166" w:type="dxa"/>
        <w:tblLayout w:type="fixed"/>
        <w:tblLook w:val="0000" w:firstRow="0" w:lastRow="0" w:firstColumn="0" w:lastColumn="0" w:noHBand="0" w:noVBand="0"/>
      </w:tblPr>
      <w:tblGrid>
        <w:gridCol w:w="4583"/>
        <w:gridCol w:w="4583"/>
      </w:tblGrid>
      <w:tr w:rsidR="007C1D7E" w14:paraId="3B51D737" w14:textId="77777777">
        <w:trPr>
          <w:trHeight w:val="600"/>
        </w:trPr>
        <w:tc>
          <w:tcPr>
            <w:tcW w:w="4583" w:type="dxa"/>
          </w:tcPr>
          <w:p w14:paraId="785E67B1"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highlight w:val="yellow"/>
              </w:rPr>
            </w:pPr>
            <w:r>
              <w:rPr>
                <w:rFonts w:ascii="Cambria" w:eastAsia="Cambria" w:hAnsi="Cambria" w:cs="Cambria"/>
                <w:color w:val="000000"/>
                <w:sz w:val="20"/>
                <w:szCs w:val="20"/>
                <w:highlight w:val="yellow"/>
              </w:rPr>
              <w:t>Client</w:t>
            </w:r>
          </w:p>
          <w:p w14:paraId="58BCE8A9"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623682DE"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604778EE"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30F72D16" w14:textId="77777777" w:rsidR="007C1D7E" w:rsidRDefault="007C1D7E">
            <w:pPr>
              <w:keepLines/>
              <w:tabs>
                <w:tab w:val="left" w:pos="567"/>
                <w:tab w:val="left" w:pos="3402"/>
                <w:tab w:val="right" w:pos="8505"/>
              </w:tabs>
              <w:spacing w:line="276" w:lineRule="auto"/>
              <w:ind w:right="128"/>
              <w:jc w:val="both"/>
              <w:rPr>
                <w:rFonts w:ascii="Cambria" w:eastAsia="Cambria" w:hAnsi="Cambria" w:cs="Cambria"/>
                <w:color w:val="000000"/>
                <w:sz w:val="20"/>
                <w:szCs w:val="20"/>
              </w:rPr>
            </w:pPr>
          </w:p>
        </w:tc>
        <w:tc>
          <w:tcPr>
            <w:tcW w:w="4583" w:type="dxa"/>
          </w:tcPr>
          <w:p w14:paraId="15896AAE"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Service Provider</w:t>
            </w:r>
          </w:p>
          <w:p w14:paraId="53CE45D7" w14:textId="77777777" w:rsidR="007C1D7E" w:rsidRDefault="0021558B">
            <w:pPr>
              <w:tabs>
                <w:tab w:val="left" w:pos="567"/>
                <w:tab w:val="left" w:pos="3402"/>
                <w:tab w:val="right" w:pos="8505"/>
              </w:tabs>
              <w:spacing w:after="120"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Lingua Intellegens, LLC</w:t>
            </w:r>
          </w:p>
          <w:p w14:paraId="2B5A1E86"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Director Kotryna Tomkeviciute</w:t>
            </w:r>
          </w:p>
        </w:tc>
      </w:tr>
    </w:tbl>
    <w:p w14:paraId="4DBA3F55" w14:textId="77777777" w:rsidR="007C1D7E" w:rsidRDefault="007C1D7E">
      <w:pPr>
        <w:pBdr>
          <w:top w:val="nil"/>
          <w:left w:val="nil"/>
          <w:bottom w:val="nil"/>
          <w:right w:val="nil"/>
          <w:between w:val="nil"/>
        </w:pBdr>
        <w:tabs>
          <w:tab w:val="left" w:pos="567"/>
          <w:tab w:val="center" w:pos="2268"/>
          <w:tab w:val="left" w:pos="3402"/>
          <w:tab w:val="center" w:pos="6237"/>
          <w:tab w:val="right" w:pos="8505"/>
        </w:tabs>
        <w:spacing w:after="160" w:line="276" w:lineRule="auto"/>
        <w:ind w:right="128"/>
        <w:rPr>
          <w:rFonts w:ascii="Cambria" w:eastAsia="Cambria" w:hAnsi="Cambria" w:cs="Cambria"/>
          <w:b/>
          <w:sz w:val="20"/>
          <w:szCs w:val="20"/>
        </w:rPr>
      </w:pPr>
    </w:p>
    <w:p w14:paraId="7D1C7E5C" w14:textId="77777777" w:rsidR="007C1D7E" w:rsidRDefault="0021558B">
      <w:pPr>
        <w:pBdr>
          <w:top w:val="nil"/>
          <w:left w:val="nil"/>
          <w:bottom w:val="nil"/>
          <w:right w:val="nil"/>
          <w:between w:val="nil"/>
        </w:pBdr>
        <w:tabs>
          <w:tab w:val="left" w:pos="567"/>
          <w:tab w:val="center" w:pos="2268"/>
          <w:tab w:val="left" w:pos="3402"/>
          <w:tab w:val="center" w:pos="6237"/>
          <w:tab w:val="right" w:pos="8505"/>
        </w:tabs>
        <w:spacing w:after="160" w:line="276" w:lineRule="auto"/>
        <w:ind w:right="128"/>
        <w:rPr>
          <w:rFonts w:ascii="Cambria" w:eastAsia="Cambria" w:hAnsi="Cambria" w:cs="Cambria"/>
          <w:b/>
          <w:color w:val="000000"/>
          <w:sz w:val="20"/>
          <w:szCs w:val="20"/>
        </w:rPr>
      </w:pPr>
      <w:r>
        <w:rPr>
          <w:rFonts w:ascii="Cambria" w:eastAsia="Cambria" w:hAnsi="Cambria" w:cs="Cambria"/>
          <w:b/>
          <w:sz w:val="20"/>
          <w:szCs w:val="20"/>
        </w:rPr>
        <w:t>Annex</w:t>
      </w:r>
      <w:r>
        <w:rPr>
          <w:rFonts w:ascii="Cambria" w:eastAsia="Cambria" w:hAnsi="Cambria" w:cs="Cambria"/>
          <w:b/>
          <w:color w:val="000000"/>
          <w:sz w:val="20"/>
          <w:szCs w:val="20"/>
        </w:rPr>
        <w:t xml:space="preserve"> A</w:t>
      </w:r>
    </w:p>
    <w:p w14:paraId="4928917F" w14:textId="77777777" w:rsidR="007C1D7E" w:rsidRDefault="0021558B">
      <w:pPr>
        <w:pStyle w:val="Title"/>
        <w:spacing w:line="276" w:lineRule="auto"/>
        <w:ind w:right="128"/>
        <w:rPr>
          <w:rFonts w:ascii="Cambria" w:eastAsia="Cambria" w:hAnsi="Cambria" w:cs="Cambria"/>
          <w:sz w:val="24"/>
          <w:szCs w:val="24"/>
        </w:rPr>
      </w:pPr>
      <w:r>
        <w:rPr>
          <w:rFonts w:ascii="Cambria" w:eastAsia="Cambria" w:hAnsi="Cambria" w:cs="Cambria"/>
          <w:sz w:val="24"/>
          <w:szCs w:val="24"/>
        </w:rPr>
        <w:br/>
        <w:t>MAIN CONDITIONS OF THE AGREEMENT</w:t>
      </w:r>
    </w:p>
    <w:p w14:paraId="34629B91" w14:textId="77777777" w:rsidR="007C1D7E" w:rsidRDefault="0021558B">
      <w:pPr>
        <w:spacing w:line="276" w:lineRule="auto"/>
        <w:ind w:right="128"/>
        <w:jc w:val="center"/>
        <w:rPr>
          <w:rFonts w:ascii="Cambria" w:eastAsia="Cambria" w:hAnsi="Cambria" w:cs="Cambria"/>
          <w:sz w:val="22"/>
          <w:szCs w:val="22"/>
        </w:rPr>
      </w:pPr>
      <w:r>
        <w:rPr>
          <w:rFonts w:ascii="Cambria" w:eastAsia="Cambria" w:hAnsi="Cambria" w:cs="Cambria"/>
          <w:sz w:val="20"/>
          <w:szCs w:val="20"/>
          <w:highlight w:val="yellow"/>
        </w:rPr>
        <w:t>2022.05.05</w:t>
      </w:r>
    </w:p>
    <w:p w14:paraId="45F6C8C4" w14:textId="77777777" w:rsidR="007C1D7E" w:rsidRDefault="007C1D7E">
      <w:pPr>
        <w:spacing w:after="180" w:line="288" w:lineRule="auto"/>
        <w:rPr>
          <w:rFonts w:ascii="Cambria" w:eastAsia="Cambria" w:hAnsi="Cambria" w:cs="Cambria"/>
          <w:b/>
        </w:rPr>
      </w:pPr>
    </w:p>
    <w:p w14:paraId="2780DECC" w14:textId="77777777" w:rsidR="007C1D7E" w:rsidRDefault="0021558B">
      <w:pPr>
        <w:spacing w:after="180" w:line="288" w:lineRule="auto"/>
        <w:rPr>
          <w:rFonts w:ascii="Cambria" w:eastAsia="Cambria" w:hAnsi="Cambria" w:cs="Cambria"/>
          <w:b/>
          <w:sz w:val="20"/>
          <w:szCs w:val="20"/>
        </w:rPr>
      </w:pPr>
      <w:r>
        <w:rPr>
          <w:rFonts w:ascii="Cambria" w:eastAsia="Cambria" w:hAnsi="Cambria" w:cs="Cambria"/>
          <w:b/>
          <w:sz w:val="20"/>
          <w:szCs w:val="20"/>
        </w:rPr>
        <w:t>TERM</w:t>
      </w:r>
    </w:p>
    <w:p w14:paraId="15EFF88D" w14:textId="77777777" w:rsidR="007C1D7E" w:rsidRDefault="0021558B">
      <w:pPr>
        <w:spacing w:after="180"/>
        <w:rPr>
          <w:rFonts w:ascii="Cambria" w:eastAsia="Cambria" w:hAnsi="Cambria" w:cs="Cambria"/>
          <w:sz w:val="20"/>
          <w:szCs w:val="20"/>
        </w:rPr>
      </w:pPr>
      <w:r>
        <w:rPr>
          <w:rFonts w:ascii="Cambria" w:eastAsia="Cambria" w:hAnsi="Cambria" w:cs="Cambria"/>
          <w:b/>
          <w:sz w:val="20"/>
          <w:szCs w:val="20"/>
        </w:rPr>
        <w:t xml:space="preserve">Start date: </w:t>
      </w:r>
      <w:r>
        <w:rPr>
          <w:rFonts w:ascii="Cambria" w:eastAsia="Cambria" w:hAnsi="Cambria" w:cs="Cambria"/>
          <w:sz w:val="20"/>
          <w:szCs w:val="20"/>
        </w:rPr>
        <w:t>2022-07-01</w:t>
      </w:r>
      <w:r>
        <w:rPr>
          <w:rFonts w:ascii="Cambria" w:eastAsia="Cambria" w:hAnsi="Cambria" w:cs="Cambria"/>
          <w:sz w:val="20"/>
          <w:szCs w:val="20"/>
        </w:rPr>
        <w:br/>
      </w:r>
      <w:r>
        <w:rPr>
          <w:rFonts w:ascii="Cambria" w:eastAsia="Cambria" w:hAnsi="Cambria" w:cs="Cambria"/>
          <w:b/>
          <w:sz w:val="20"/>
          <w:szCs w:val="20"/>
        </w:rPr>
        <w:t xml:space="preserve">End date: </w:t>
      </w:r>
      <w:r>
        <w:rPr>
          <w:rFonts w:ascii="Cambria" w:eastAsia="Cambria" w:hAnsi="Cambria" w:cs="Cambria"/>
          <w:sz w:val="20"/>
          <w:szCs w:val="20"/>
        </w:rPr>
        <w:t>2022-07-01</w:t>
      </w:r>
      <w:r>
        <w:rPr>
          <w:rFonts w:ascii="Cambria" w:eastAsia="Cambria" w:hAnsi="Cambria" w:cs="Cambria"/>
          <w:sz w:val="20"/>
          <w:szCs w:val="20"/>
        </w:rPr>
        <w:br/>
      </w:r>
    </w:p>
    <w:sdt>
      <w:sdtPr>
        <w:tag w:val="goog_rdk_10"/>
        <w:id w:val="1780836712"/>
        <w:lock w:val="contentLocked"/>
      </w:sdtPr>
      <w:sdtEndPr/>
      <w:sdtContent>
        <w:tbl>
          <w:tblPr>
            <w:tblStyle w:val="a8"/>
            <w:tblW w:w="9360" w:type="dxa"/>
            <w:tblBorders>
              <w:top w:val="nil"/>
              <w:left w:val="nil"/>
              <w:bottom w:val="nil"/>
              <w:right w:val="nil"/>
              <w:insideH w:val="nil"/>
              <w:insideV w:val="nil"/>
            </w:tblBorders>
            <w:tblLayout w:type="fixed"/>
            <w:tblLook w:val="0600" w:firstRow="0" w:lastRow="0" w:firstColumn="0" w:lastColumn="0" w:noHBand="1" w:noVBand="1"/>
          </w:tblPr>
          <w:tblGrid>
            <w:gridCol w:w="1500"/>
            <w:gridCol w:w="1995"/>
            <w:gridCol w:w="1905"/>
            <w:gridCol w:w="1365"/>
            <w:gridCol w:w="2595"/>
          </w:tblGrid>
          <w:tr w:rsidR="007C1D7E" w14:paraId="599EC49D" w14:textId="77777777">
            <w:trPr>
              <w:trHeight w:val="540"/>
            </w:trPr>
            <w:sdt>
              <w:sdtPr>
                <w:tag w:val="goog_rdk_0"/>
                <w:id w:val="1721322232"/>
                <w:lock w:val="contentLocked"/>
              </w:sdtPr>
              <w:sdtEndPr/>
              <w:sdtContent>
                <w:tc>
                  <w:tcPr>
                    <w:tcW w:w="1500"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321EF4CB"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Users</w:t>
                    </w:r>
                  </w:p>
                </w:tc>
              </w:sdtContent>
            </w:sdt>
            <w:sdt>
              <w:sdtPr>
                <w:tag w:val="goog_rdk_1"/>
                <w:id w:val="1396392355"/>
                <w:lock w:val="contentLocked"/>
              </w:sdtPr>
              <w:sdtEndPr/>
              <w:sdtContent>
                <w:tc>
                  <w:tcPr>
                    <w:tcW w:w="199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68A1D2BB"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Page User (Eur)</w:t>
                    </w:r>
                  </w:p>
                </w:tc>
              </w:sdtContent>
            </w:sdt>
            <w:sdt>
              <w:sdtPr>
                <w:tag w:val="goog_rdk_2"/>
                <w:id w:val="1768044140"/>
                <w:lock w:val="contentLocked"/>
              </w:sdtPr>
              <w:sdtEndPr/>
              <w:sdtContent>
                <w:tc>
                  <w:tcPr>
                    <w:tcW w:w="190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231E389C"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Page User (USD)</w:t>
                    </w:r>
                  </w:p>
                </w:tc>
              </w:sdtContent>
            </w:sdt>
            <w:sdt>
              <w:sdtPr>
                <w:tag w:val="goog_rdk_3"/>
                <w:id w:val="615875123"/>
                <w:lock w:val="contentLocked"/>
              </w:sdtPr>
              <w:sdtEndPr/>
              <w:sdtContent>
                <w:tc>
                  <w:tcPr>
                    <w:tcW w:w="136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596E88FE"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Total (Eur)</w:t>
                    </w:r>
                  </w:p>
                </w:tc>
              </w:sdtContent>
            </w:sdt>
            <w:sdt>
              <w:sdtPr>
                <w:tag w:val="goog_rdk_4"/>
                <w:id w:val="1280771229"/>
                <w:lock w:val="contentLocked"/>
              </w:sdtPr>
              <w:sdtEndPr/>
              <w:sdtContent>
                <w:tc>
                  <w:tcPr>
                    <w:tcW w:w="259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008A6DB1"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Total (USD)</w:t>
                    </w:r>
                  </w:p>
                </w:tc>
              </w:sdtContent>
            </w:sdt>
          </w:tr>
          <w:tr w:rsidR="007C1D7E" w14:paraId="24C927F2" w14:textId="77777777">
            <w:trPr>
              <w:trHeight w:val="315"/>
            </w:trPr>
            <w:sdt>
              <w:sdtPr>
                <w:tag w:val="goog_rdk_5"/>
                <w:id w:val="978956095"/>
                <w:lock w:val="contentLocked"/>
              </w:sdtPr>
              <w:sdtEndPr/>
              <w:sdtContent>
                <w:tc>
                  <w:tcPr>
                    <w:tcW w:w="1500"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3AE9A669"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1 600</w:t>
                    </w:r>
                  </w:p>
                </w:tc>
              </w:sdtContent>
            </w:sdt>
            <w:sdt>
              <w:sdtPr>
                <w:tag w:val="goog_rdk_6"/>
                <w:id w:val="1663035950"/>
                <w:lock w:val="contentLocked"/>
              </w:sdtPr>
              <w:sdtEndPr/>
              <w:sdtContent>
                <w:tc>
                  <w:tcPr>
                    <w:tcW w:w="199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30A1D440"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1.95</w:t>
                    </w:r>
                  </w:p>
                </w:tc>
              </w:sdtContent>
            </w:sdt>
            <w:sdt>
              <w:sdtPr>
                <w:tag w:val="goog_rdk_7"/>
                <w:id w:val="1560360577"/>
                <w:lock w:val="contentLocked"/>
              </w:sdtPr>
              <w:sdtEndPr/>
              <w:sdtContent>
                <w:tc>
                  <w:tcPr>
                    <w:tcW w:w="190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4B586760"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2.22</w:t>
                    </w:r>
                  </w:p>
                </w:tc>
              </w:sdtContent>
            </w:sdt>
            <w:sdt>
              <w:sdtPr>
                <w:tag w:val="goog_rdk_8"/>
                <w:id w:val="1284539993"/>
                <w:lock w:val="contentLocked"/>
              </w:sdtPr>
              <w:sdtEndPr/>
              <w:sdtContent>
                <w:tc>
                  <w:tcPr>
                    <w:tcW w:w="136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1982BCB2"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3 120</w:t>
                    </w:r>
                  </w:p>
                </w:tc>
              </w:sdtContent>
            </w:sdt>
            <w:sdt>
              <w:sdtPr>
                <w:tag w:val="goog_rdk_9"/>
                <w:id w:val="1652017241"/>
                <w:lock w:val="contentLocked"/>
              </w:sdtPr>
              <w:sdtEndPr/>
              <w:sdtContent>
                <w:tc>
                  <w:tcPr>
                    <w:tcW w:w="2595" w:type="dxa"/>
                    <w:tcBorders>
                      <w:top w:val="single" w:sz="6" w:space="0" w:color="1E4D78"/>
                      <w:left w:val="single" w:sz="6" w:space="0" w:color="1E4D78"/>
                      <w:bottom w:val="single" w:sz="6" w:space="0" w:color="1E4D78"/>
                      <w:right w:val="single" w:sz="6" w:space="0" w:color="1E4D78"/>
                    </w:tcBorders>
                    <w:shd w:val="clear" w:color="auto" w:fill="C9DAF8"/>
                    <w:tcMar>
                      <w:top w:w="40" w:type="dxa"/>
                      <w:left w:w="40" w:type="dxa"/>
                      <w:bottom w:w="40" w:type="dxa"/>
                      <w:right w:w="40" w:type="dxa"/>
                    </w:tcMar>
                    <w:vAlign w:val="center"/>
                  </w:tcPr>
                  <w:p w14:paraId="478DC4F1" w14:textId="77777777" w:rsidR="007C1D7E" w:rsidRDefault="0021558B">
                    <w:pPr>
                      <w:widowControl w:val="0"/>
                      <w:spacing w:line="276" w:lineRule="auto"/>
                      <w:jc w:val="center"/>
                      <w:rPr>
                        <w:rFonts w:ascii="Cambria" w:eastAsia="Cambria" w:hAnsi="Cambria" w:cs="Cambria"/>
                        <w:sz w:val="20"/>
                        <w:szCs w:val="20"/>
                      </w:rPr>
                    </w:pPr>
                    <w:r>
                      <w:rPr>
                        <w:rFonts w:ascii="Cambria" w:eastAsia="Cambria" w:hAnsi="Cambria" w:cs="Cambria"/>
                        <w:b/>
                        <w:sz w:val="20"/>
                        <w:szCs w:val="20"/>
                      </w:rPr>
                      <w:t>3 552</w:t>
                    </w:r>
                  </w:p>
                </w:tc>
              </w:sdtContent>
            </w:sdt>
          </w:tr>
        </w:tbl>
      </w:sdtContent>
    </w:sdt>
    <w:p w14:paraId="540E32F3" w14:textId="77777777" w:rsidR="007C1D7E" w:rsidRDefault="007C1D7E">
      <w:pPr>
        <w:spacing w:after="180"/>
        <w:rPr>
          <w:rFonts w:ascii="Cambria" w:eastAsia="Cambria" w:hAnsi="Cambria" w:cs="Cambria"/>
          <w:sz w:val="20"/>
          <w:szCs w:val="20"/>
        </w:rPr>
      </w:pPr>
    </w:p>
    <w:p w14:paraId="3FC56B6B" w14:textId="77777777" w:rsidR="007C1D7E" w:rsidRDefault="0021558B">
      <w:pPr>
        <w:pBdr>
          <w:top w:val="nil"/>
          <w:left w:val="nil"/>
          <w:bottom w:val="nil"/>
          <w:right w:val="nil"/>
          <w:between w:val="nil"/>
        </w:pBdr>
        <w:spacing w:line="276" w:lineRule="auto"/>
        <w:ind w:right="128"/>
        <w:rPr>
          <w:rFonts w:ascii="Cambria" w:eastAsia="Cambria" w:hAnsi="Cambria" w:cs="Cambria"/>
          <w:sz w:val="20"/>
          <w:szCs w:val="20"/>
        </w:rPr>
      </w:pPr>
      <w:r>
        <w:rPr>
          <w:rFonts w:ascii="Cambria" w:eastAsia="Cambria" w:hAnsi="Cambria" w:cs="Cambria"/>
          <w:b/>
          <w:sz w:val="20"/>
          <w:szCs w:val="20"/>
        </w:rPr>
        <w:t xml:space="preserve">FAIR USE POLICY </w:t>
      </w:r>
      <w:r>
        <w:rPr>
          <w:rFonts w:ascii="Cambria" w:eastAsia="Cambria" w:hAnsi="Cambria" w:cs="Cambria"/>
          <w:b/>
          <w:sz w:val="20"/>
          <w:szCs w:val="20"/>
        </w:rPr>
        <w:br/>
      </w:r>
      <w:r>
        <w:rPr>
          <w:rFonts w:ascii="Cambria" w:eastAsia="Cambria" w:hAnsi="Cambria" w:cs="Cambria"/>
          <w:sz w:val="20"/>
          <w:szCs w:val="20"/>
        </w:rPr>
        <w:br/>
        <w:t xml:space="preserve">For our users, we offer unlimited access to our services. However, certain rules and limitations still apply as a fair use policy. 1 600 users x 5 documents = 8 000 documents to your whole institution account per year. </w:t>
      </w:r>
    </w:p>
    <w:p w14:paraId="13B6CB3B" w14:textId="77777777" w:rsidR="007C1D7E" w:rsidRDefault="0021558B">
      <w:pPr>
        <w:pBdr>
          <w:top w:val="nil"/>
          <w:left w:val="nil"/>
          <w:bottom w:val="nil"/>
          <w:right w:val="nil"/>
          <w:between w:val="nil"/>
        </w:pBdr>
        <w:spacing w:line="276" w:lineRule="auto"/>
        <w:ind w:right="128"/>
        <w:rPr>
          <w:rFonts w:ascii="Cambria" w:eastAsia="Cambria" w:hAnsi="Cambria" w:cs="Cambria"/>
          <w:sz w:val="20"/>
          <w:szCs w:val="20"/>
        </w:rPr>
      </w:pPr>
      <w:r>
        <w:rPr>
          <w:rFonts w:ascii="Cambria" w:eastAsia="Cambria" w:hAnsi="Cambria" w:cs="Cambria"/>
          <w:sz w:val="20"/>
          <w:szCs w:val="20"/>
        </w:rPr>
        <w:t xml:space="preserve">One user can upload 5 documents. But if one student uploads 2 paperwork during the year, his 3 uploads will be transferred to your institutional account. </w:t>
      </w:r>
    </w:p>
    <w:p w14:paraId="669F445D" w14:textId="77777777" w:rsidR="007C1D7E" w:rsidRDefault="007C1D7E">
      <w:pPr>
        <w:pBdr>
          <w:top w:val="nil"/>
          <w:left w:val="nil"/>
          <w:bottom w:val="nil"/>
          <w:right w:val="nil"/>
          <w:between w:val="nil"/>
        </w:pBdr>
        <w:spacing w:line="276" w:lineRule="auto"/>
        <w:ind w:right="128"/>
        <w:rPr>
          <w:rFonts w:ascii="Cambria" w:eastAsia="Cambria" w:hAnsi="Cambria" w:cs="Cambria"/>
          <w:sz w:val="20"/>
          <w:szCs w:val="20"/>
        </w:rPr>
      </w:pPr>
    </w:p>
    <w:p w14:paraId="070E8AE4" w14:textId="77777777" w:rsidR="007C1D7E" w:rsidRDefault="0021558B">
      <w:pPr>
        <w:numPr>
          <w:ilvl w:val="0"/>
          <w:numId w:val="1"/>
        </w:numPr>
        <w:pBdr>
          <w:top w:val="nil"/>
          <w:left w:val="nil"/>
          <w:bottom w:val="nil"/>
          <w:right w:val="nil"/>
          <w:between w:val="nil"/>
        </w:pBdr>
        <w:spacing w:line="276" w:lineRule="auto"/>
        <w:ind w:right="128"/>
        <w:rPr>
          <w:rFonts w:ascii="Cambria" w:eastAsia="Cambria" w:hAnsi="Cambria" w:cs="Cambria"/>
          <w:sz w:val="20"/>
          <w:szCs w:val="20"/>
        </w:rPr>
      </w:pPr>
      <w:r>
        <w:rPr>
          <w:rFonts w:ascii="Cambria" w:eastAsia="Cambria" w:hAnsi="Cambria" w:cs="Cambria"/>
          <w:sz w:val="20"/>
          <w:szCs w:val="20"/>
        </w:rPr>
        <w:t>Additional documents can be charged 0.50 USD per document.</w:t>
      </w:r>
    </w:p>
    <w:p w14:paraId="53F2FDE8" w14:textId="77777777" w:rsidR="007C1D7E" w:rsidRDefault="0021558B">
      <w:pPr>
        <w:numPr>
          <w:ilvl w:val="0"/>
          <w:numId w:val="1"/>
        </w:numPr>
        <w:pBdr>
          <w:top w:val="nil"/>
          <w:left w:val="nil"/>
          <w:bottom w:val="nil"/>
          <w:right w:val="nil"/>
          <w:between w:val="nil"/>
        </w:pBdr>
        <w:spacing w:line="276" w:lineRule="auto"/>
        <w:ind w:right="128"/>
        <w:rPr>
          <w:rFonts w:ascii="Cambria" w:eastAsia="Cambria" w:hAnsi="Cambria" w:cs="Cambria"/>
          <w:sz w:val="20"/>
          <w:szCs w:val="20"/>
        </w:rPr>
      </w:pPr>
      <w:r>
        <w:rPr>
          <w:rFonts w:ascii="Cambria" w:eastAsia="Cambria" w:hAnsi="Cambria" w:cs="Cambria"/>
          <w:sz w:val="20"/>
          <w:szCs w:val="20"/>
        </w:rPr>
        <w:t>Additional users will cost an additional 2.22 UDS per user.</w:t>
      </w:r>
    </w:p>
    <w:p w14:paraId="2C038626" w14:textId="77777777" w:rsidR="007C1D7E" w:rsidRDefault="007C1D7E">
      <w:pPr>
        <w:pBdr>
          <w:top w:val="nil"/>
          <w:left w:val="nil"/>
          <w:bottom w:val="nil"/>
          <w:right w:val="nil"/>
          <w:between w:val="nil"/>
        </w:pBdr>
        <w:ind w:right="128"/>
        <w:rPr>
          <w:rFonts w:ascii="Cambria" w:eastAsia="Cambria" w:hAnsi="Cambria" w:cs="Cambria"/>
          <w:sz w:val="20"/>
          <w:szCs w:val="20"/>
        </w:rPr>
      </w:pPr>
    </w:p>
    <w:p w14:paraId="1E3E239E" w14:textId="77777777" w:rsidR="007C1D7E" w:rsidRDefault="0021558B">
      <w:pPr>
        <w:ind w:right="128"/>
        <w:rPr>
          <w:rFonts w:ascii="Cambria" w:eastAsia="Cambria" w:hAnsi="Cambria" w:cs="Cambria"/>
        </w:rPr>
      </w:pPr>
      <w:r>
        <w:rPr>
          <w:rFonts w:ascii="Cambria" w:eastAsia="Cambria" w:hAnsi="Cambria" w:cs="Cambria"/>
          <w:b/>
          <w:sz w:val="20"/>
          <w:szCs w:val="20"/>
        </w:rPr>
        <w:t>USING TYPE</w:t>
      </w:r>
    </w:p>
    <w:p w14:paraId="50E926A2" w14:textId="77777777" w:rsidR="007C1D7E" w:rsidRDefault="0021558B">
      <w:pPr>
        <w:ind w:right="128"/>
        <w:rPr>
          <w:rFonts w:ascii="Cambria" w:eastAsia="Cambria" w:hAnsi="Cambria" w:cs="Cambria"/>
        </w:rPr>
      </w:pPr>
      <w:r>
        <w:rPr>
          <w:rFonts w:ascii="Cambria" w:eastAsia="Cambria" w:hAnsi="Cambria" w:cs="Cambria"/>
          <w:sz w:val="20"/>
          <w:szCs w:val="20"/>
        </w:rPr>
        <w:br/>
        <w:t>Moodle LMS - LTI integration</w:t>
      </w:r>
    </w:p>
    <w:p w14:paraId="1B7C0492" w14:textId="77777777" w:rsidR="007C1D7E" w:rsidRDefault="007C1D7E">
      <w:pPr>
        <w:ind w:right="128"/>
        <w:rPr>
          <w:rFonts w:ascii="Cambria" w:eastAsia="Cambria" w:hAnsi="Cambria" w:cs="Cambria"/>
        </w:rPr>
      </w:pPr>
    </w:p>
    <w:p w14:paraId="7FC82835" w14:textId="77777777" w:rsidR="007C1D7E" w:rsidRDefault="007C1D7E">
      <w:pPr>
        <w:tabs>
          <w:tab w:val="left" w:pos="709"/>
        </w:tabs>
        <w:spacing w:after="160" w:line="276" w:lineRule="auto"/>
        <w:ind w:right="128"/>
        <w:jc w:val="both"/>
        <w:rPr>
          <w:rFonts w:ascii="Cambria" w:eastAsia="Cambria" w:hAnsi="Cambria" w:cs="Cambria"/>
          <w:sz w:val="20"/>
          <w:szCs w:val="20"/>
        </w:rPr>
      </w:pPr>
    </w:p>
    <w:tbl>
      <w:tblPr>
        <w:tblStyle w:val="a9"/>
        <w:tblW w:w="9166" w:type="dxa"/>
        <w:tblLayout w:type="fixed"/>
        <w:tblLook w:val="0000" w:firstRow="0" w:lastRow="0" w:firstColumn="0" w:lastColumn="0" w:noHBand="0" w:noVBand="0"/>
      </w:tblPr>
      <w:tblGrid>
        <w:gridCol w:w="4583"/>
        <w:gridCol w:w="4583"/>
      </w:tblGrid>
      <w:tr w:rsidR="007C1D7E" w14:paraId="65FB41C1" w14:textId="77777777">
        <w:trPr>
          <w:trHeight w:val="600"/>
        </w:trPr>
        <w:tc>
          <w:tcPr>
            <w:tcW w:w="4583" w:type="dxa"/>
          </w:tcPr>
          <w:p w14:paraId="3CBB6AEC"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highlight w:val="yellow"/>
              </w:rPr>
            </w:pPr>
            <w:r>
              <w:rPr>
                <w:rFonts w:ascii="Cambria" w:eastAsia="Cambria" w:hAnsi="Cambria" w:cs="Cambria"/>
                <w:color w:val="000000"/>
                <w:sz w:val="20"/>
                <w:szCs w:val="20"/>
                <w:highlight w:val="yellow"/>
              </w:rPr>
              <w:t>Client</w:t>
            </w:r>
          </w:p>
          <w:p w14:paraId="7D01A856"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43A3EBD2"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029AA571"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01C9A4D7" w14:textId="77777777" w:rsidR="007C1D7E" w:rsidRDefault="007C1D7E">
            <w:pPr>
              <w:keepLines/>
              <w:tabs>
                <w:tab w:val="left" w:pos="567"/>
                <w:tab w:val="left" w:pos="3402"/>
                <w:tab w:val="right" w:pos="8505"/>
              </w:tabs>
              <w:spacing w:line="276" w:lineRule="auto"/>
              <w:ind w:right="128"/>
              <w:jc w:val="both"/>
              <w:rPr>
                <w:rFonts w:ascii="Cambria" w:eastAsia="Cambria" w:hAnsi="Cambria" w:cs="Cambria"/>
                <w:color w:val="000000"/>
                <w:sz w:val="20"/>
                <w:szCs w:val="20"/>
              </w:rPr>
            </w:pPr>
          </w:p>
          <w:p w14:paraId="2FC575D8" w14:textId="77777777" w:rsidR="007C1D7E" w:rsidRDefault="007C1D7E">
            <w:pPr>
              <w:keepLines/>
              <w:tabs>
                <w:tab w:val="left" w:pos="567"/>
                <w:tab w:val="left" w:pos="3402"/>
                <w:tab w:val="right" w:pos="8505"/>
              </w:tabs>
              <w:spacing w:line="276" w:lineRule="auto"/>
              <w:ind w:right="128"/>
              <w:jc w:val="both"/>
              <w:rPr>
                <w:rFonts w:ascii="Cambria" w:eastAsia="Cambria" w:hAnsi="Cambria" w:cs="Cambria"/>
                <w:color w:val="000000"/>
                <w:sz w:val="20"/>
                <w:szCs w:val="20"/>
              </w:rPr>
            </w:pPr>
          </w:p>
        </w:tc>
        <w:tc>
          <w:tcPr>
            <w:tcW w:w="4583" w:type="dxa"/>
          </w:tcPr>
          <w:p w14:paraId="4546B09D"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Service Provider</w:t>
            </w:r>
          </w:p>
          <w:p w14:paraId="43F23E5E" w14:textId="77777777" w:rsidR="007C1D7E" w:rsidRDefault="0021558B">
            <w:pPr>
              <w:tabs>
                <w:tab w:val="left" w:pos="567"/>
                <w:tab w:val="left" w:pos="3402"/>
                <w:tab w:val="right" w:pos="8505"/>
              </w:tabs>
              <w:spacing w:after="120"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Lingua Intellegens, LL</w:t>
            </w:r>
          </w:p>
          <w:p w14:paraId="3F4F72FE"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Director Kotryna Tomkeviciute</w:t>
            </w:r>
          </w:p>
        </w:tc>
      </w:tr>
    </w:tbl>
    <w:p w14:paraId="73166DE4"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rPr>
      </w:pPr>
    </w:p>
    <w:p w14:paraId="3E82A96E" w14:textId="77777777" w:rsidR="007C1D7E" w:rsidRDefault="007C1D7E">
      <w:pPr>
        <w:spacing w:line="276" w:lineRule="auto"/>
        <w:ind w:right="128"/>
        <w:rPr>
          <w:rFonts w:ascii="Cambria" w:eastAsia="Cambria" w:hAnsi="Cambria" w:cs="Cambria"/>
        </w:rPr>
      </w:pPr>
    </w:p>
    <w:p w14:paraId="35AAC67D" w14:textId="77777777" w:rsidR="007C1D7E" w:rsidRDefault="0021558B">
      <w:pPr>
        <w:ind w:right="128"/>
        <w:jc w:val="both"/>
        <w:rPr>
          <w:rFonts w:ascii="Cambria" w:eastAsia="Cambria" w:hAnsi="Cambria" w:cs="Cambria"/>
          <w:sz w:val="20"/>
          <w:szCs w:val="20"/>
        </w:rPr>
      </w:pPr>
      <w:r>
        <w:br w:type="page"/>
      </w:r>
    </w:p>
    <w:p w14:paraId="738D87F8" w14:textId="77777777" w:rsidR="007C1D7E" w:rsidRDefault="007C1D7E">
      <w:pPr>
        <w:ind w:right="128"/>
        <w:jc w:val="both"/>
        <w:rPr>
          <w:rFonts w:ascii="Cambria" w:eastAsia="Cambria" w:hAnsi="Cambria" w:cs="Cambria"/>
          <w:sz w:val="20"/>
          <w:szCs w:val="20"/>
        </w:rPr>
      </w:pPr>
    </w:p>
    <w:p w14:paraId="17A617C7" w14:textId="77777777" w:rsidR="007C1D7E" w:rsidRDefault="0021558B">
      <w:pPr>
        <w:ind w:right="128"/>
        <w:jc w:val="both"/>
        <w:rPr>
          <w:rFonts w:ascii="Cambria" w:eastAsia="Cambria" w:hAnsi="Cambria" w:cs="Cambria"/>
          <w:b/>
          <w:sz w:val="22"/>
          <w:szCs w:val="22"/>
        </w:rPr>
      </w:pPr>
      <w:r>
        <w:rPr>
          <w:rFonts w:ascii="Cambria" w:eastAsia="Cambria" w:hAnsi="Cambria" w:cs="Cambria"/>
          <w:b/>
          <w:sz w:val="22"/>
          <w:szCs w:val="22"/>
        </w:rPr>
        <w:t xml:space="preserve">Annex B </w:t>
      </w:r>
    </w:p>
    <w:p w14:paraId="59EAE94F" w14:textId="77777777" w:rsidR="007C1D7E" w:rsidRDefault="007C1D7E">
      <w:pPr>
        <w:ind w:right="128"/>
        <w:jc w:val="center"/>
        <w:rPr>
          <w:rFonts w:ascii="Cambria" w:eastAsia="Cambria" w:hAnsi="Cambria" w:cs="Cambria"/>
          <w:b/>
          <w:sz w:val="22"/>
          <w:szCs w:val="22"/>
        </w:rPr>
      </w:pPr>
    </w:p>
    <w:p w14:paraId="2405687F" w14:textId="77777777" w:rsidR="007C1D7E" w:rsidRDefault="0021558B">
      <w:pPr>
        <w:ind w:right="128"/>
        <w:jc w:val="center"/>
        <w:rPr>
          <w:rFonts w:ascii="Cambria" w:eastAsia="Cambria" w:hAnsi="Cambria" w:cs="Cambria"/>
          <w:b/>
          <w:sz w:val="22"/>
          <w:szCs w:val="22"/>
          <w:highlight w:val="yellow"/>
        </w:rPr>
      </w:pPr>
      <w:r>
        <w:rPr>
          <w:rFonts w:ascii="Cambria" w:eastAsia="Cambria" w:hAnsi="Cambria" w:cs="Cambria"/>
          <w:b/>
        </w:rPr>
        <w:t>INFORMATION ON THE PROCESSING OF PERSONAL DATA</w:t>
      </w:r>
      <w:r>
        <w:rPr>
          <w:rFonts w:ascii="Cambria" w:eastAsia="Cambria" w:hAnsi="Cambria" w:cs="Cambria"/>
          <w:b/>
          <w:sz w:val="22"/>
          <w:szCs w:val="22"/>
        </w:rPr>
        <w:br/>
      </w:r>
      <w:r>
        <w:rPr>
          <w:rFonts w:ascii="Cambria" w:eastAsia="Cambria" w:hAnsi="Cambria" w:cs="Cambria"/>
          <w:b/>
          <w:sz w:val="22"/>
          <w:szCs w:val="22"/>
        </w:rPr>
        <w:br/>
      </w:r>
      <w:r>
        <w:rPr>
          <w:rFonts w:ascii="Cambria" w:eastAsia="Cambria" w:hAnsi="Cambria" w:cs="Cambria"/>
          <w:sz w:val="20"/>
          <w:szCs w:val="20"/>
          <w:highlight w:val="yellow"/>
        </w:rPr>
        <w:t>2022.05.05</w:t>
      </w:r>
    </w:p>
    <w:p w14:paraId="7E86A015" w14:textId="77777777" w:rsidR="007C1D7E" w:rsidRDefault="007C1D7E">
      <w:pPr>
        <w:ind w:right="128"/>
        <w:jc w:val="both"/>
        <w:rPr>
          <w:rFonts w:ascii="Cambria" w:eastAsia="Cambria" w:hAnsi="Cambria" w:cs="Cambria"/>
          <w:sz w:val="22"/>
          <w:szCs w:val="22"/>
        </w:rPr>
      </w:pPr>
    </w:p>
    <w:p w14:paraId="0DB83E91" w14:textId="77777777" w:rsidR="007C1D7E" w:rsidRDefault="007C1D7E">
      <w:pPr>
        <w:ind w:right="128"/>
        <w:jc w:val="both"/>
        <w:rPr>
          <w:rFonts w:ascii="Cambria" w:eastAsia="Cambria" w:hAnsi="Cambria" w:cs="Cambria"/>
          <w:sz w:val="22"/>
          <w:szCs w:val="22"/>
        </w:rPr>
      </w:pPr>
    </w:p>
    <w:p w14:paraId="7044FABE" w14:textId="77777777" w:rsidR="007C1D7E" w:rsidRDefault="0021558B">
      <w:pPr>
        <w:ind w:right="128" w:firstLine="720"/>
        <w:jc w:val="both"/>
        <w:rPr>
          <w:rFonts w:ascii="Cambria" w:eastAsia="Cambria" w:hAnsi="Cambria" w:cs="Cambria"/>
          <w:sz w:val="20"/>
          <w:szCs w:val="20"/>
        </w:rPr>
      </w:pPr>
      <w:r>
        <w:rPr>
          <w:rFonts w:ascii="Cambria" w:eastAsia="Cambria" w:hAnsi="Cambria" w:cs="Cambria"/>
          <w:sz w:val="20"/>
          <w:szCs w:val="20"/>
        </w:rPr>
        <w:t>Under this Agreement the Service Provider on behalf of the Client processes personal data (as described in Regulation (EU) 2016/679 of the European Parliament and the Council, hereinafter – GDPR) to such extent that is needed for the Service Provider to perform his obligations arising from the Agreement, including hosting, storage, changing, transfer, erasure.</w:t>
      </w:r>
    </w:p>
    <w:p w14:paraId="21544276" w14:textId="77777777" w:rsidR="007C1D7E" w:rsidRDefault="007C1D7E">
      <w:pPr>
        <w:ind w:right="128"/>
        <w:jc w:val="both"/>
        <w:rPr>
          <w:rFonts w:ascii="Cambria" w:eastAsia="Cambria" w:hAnsi="Cambria" w:cs="Cambria"/>
          <w:sz w:val="20"/>
          <w:szCs w:val="20"/>
        </w:rPr>
      </w:pPr>
    </w:p>
    <w:p w14:paraId="38867106" w14:textId="77777777" w:rsidR="007C1D7E" w:rsidRDefault="0021558B">
      <w:pPr>
        <w:ind w:right="128" w:firstLine="720"/>
        <w:jc w:val="both"/>
        <w:rPr>
          <w:rFonts w:ascii="Cambria" w:eastAsia="Cambria" w:hAnsi="Cambria" w:cs="Cambria"/>
          <w:sz w:val="20"/>
          <w:szCs w:val="20"/>
        </w:rPr>
      </w:pPr>
      <w:r>
        <w:rPr>
          <w:rFonts w:ascii="Cambria" w:eastAsia="Cambria" w:hAnsi="Cambria" w:cs="Cambria"/>
          <w:sz w:val="20"/>
          <w:szCs w:val="20"/>
        </w:rPr>
        <w:t>The Service Provider processes personal data acting only under lawful instructions of the Client which shall be documented in a form acceptable to both Parties.</w:t>
      </w:r>
    </w:p>
    <w:p w14:paraId="18AAC9F3" w14:textId="77777777" w:rsidR="007C1D7E" w:rsidRDefault="007C1D7E">
      <w:pPr>
        <w:ind w:right="128"/>
        <w:jc w:val="both"/>
        <w:rPr>
          <w:rFonts w:ascii="Cambria" w:eastAsia="Cambria" w:hAnsi="Cambria" w:cs="Cambria"/>
          <w:sz w:val="20"/>
          <w:szCs w:val="20"/>
        </w:rPr>
      </w:pPr>
    </w:p>
    <w:p w14:paraId="6B122FCA" w14:textId="77777777" w:rsidR="007C1D7E" w:rsidRDefault="0021558B">
      <w:pPr>
        <w:ind w:right="128"/>
        <w:jc w:val="both"/>
        <w:rPr>
          <w:rFonts w:ascii="Cambria" w:eastAsia="Cambria" w:hAnsi="Cambria" w:cs="Cambria"/>
          <w:sz w:val="20"/>
          <w:szCs w:val="20"/>
        </w:rPr>
      </w:pPr>
      <w:r>
        <w:rPr>
          <w:rFonts w:ascii="Cambria" w:eastAsia="Cambria" w:hAnsi="Cambria" w:cs="Cambria"/>
          <w:sz w:val="20"/>
          <w:szCs w:val="20"/>
        </w:rPr>
        <w:t>Categories of the data subjects, whose personal data may be processed under this Agreement:</w:t>
      </w:r>
    </w:p>
    <w:p w14:paraId="33C04149" w14:textId="77777777" w:rsidR="007C1D7E" w:rsidRDefault="007C1D7E">
      <w:pPr>
        <w:ind w:right="128"/>
        <w:jc w:val="both"/>
        <w:rPr>
          <w:rFonts w:ascii="Cambria" w:eastAsia="Cambria" w:hAnsi="Cambria" w:cs="Cambria"/>
          <w:sz w:val="20"/>
          <w:szCs w:val="20"/>
        </w:rPr>
      </w:pPr>
    </w:p>
    <w:p w14:paraId="71954C62" w14:textId="77777777" w:rsidR="007C1D7E" w:rsidRDefault="0021558B">
      <w:pPr>
        <w:numPr>
          <w:ilvl w:val="0"/>
          <w:numId w:val="4"/>
        </w:numPr>
        <w:tabs>
          <w:tab w:val="left" w:pos="200"/>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The Client’s employees, representatives and students;</w:t>
      </w:r>
    </w:p>
    <w:p w14:paraId="07A034A8" w14:textId="77777777" w:rsidR="007C1D7E" w:rsidRDefault="0021558B">
      <w:pPr>
        <w:numPr>
          <w:ilvl w:val="0"/>
          <w:numId w:val="4"/>
        </w:numPr>
        <w:tabs>
          <w:tab w:val="left" w:pos="200"/>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Authors of textual works;</w:t>
      </w:r>
    </w:p>
    <w:p w14:paraId="2810B79F" w14:textId="77777777" w:rsidR="007C1D7E" w:rsidRDefault="0021558B">
      <w:pPr>
        <w:numPr>
          <w:ilvl w:val="0"/>
          <w:numId w:val="4"/>
        </w:numPr>
        <w:tabs>
          <w:tab w:val="left" w:pos="200"/>
        </w:tabs>
        <w:spacing w:after="160" w:line="259" w:lineRule="auto"/>
        <w:ind w:left="58" w:right="128" w:firstLine="0"/>
        <w:jc w:val="both"/>
        <w:rPr>
          <w:rFonts w:ascii="Cambria" w:eastAsia="Cambria" w:hAnsi="Cambria" w:cs="Cambria"/>
          <w:sz w:val="20"/>
          <w:szCs w:val="20"/>
        </w:rPr>
      </w:pPr>
      <w:r>
        <w:rPr>
          <w:rFonts w:ascii="Cambria" w:eastAsia="Cambria" w:hAnsi="Cambria" w:cs="Cambria"/>
          <w:sz w:val="20"/>
          <w:szCs w:val="20"/>
        </w:rPr>
        <w:t>Other data subjects, whose personal data is processed by the Service Provider on behalf of and under lawful instructions of the Client.</w:t>
      </w:r>
    </w:p>
    <w:p w14:paraId="24611725" w14:textId="77777777" w:rsidR="007C1D7E" w:rsidRDefault="007C1D7E">
      <w:pPr>
        <w:tabs>
          <w:tab w:val="left" w:pos="200"/>
        </w:tabs>
        <w:ind w:right="128"/>
        <w:jc w:val="both"/>
        <w:rPr>
          <w:rFonts w:ascii="Cambria" w:eastAsia="Cambria" w:hAnsi="Cambria" w:cs="Cambria"/>
          <w:sz w:val="20"/>
          <w:szCs w:val="20"/>
        </w:rPr>
      </w:pPr>
    </w:p>
    <w:p w14:paraId="3BC1ABC0"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The following personal data of the aforesaid data subjects may be processed under this Agreement:</w:t>
      </w:r>
    </w:p>
    <w:p w14:paraId="0FE6BF44" w14:textId="77777777" w:rsidR="007C1D7E" w:rsidRDefault="0021558B">
      <w:pPr>
        <w:numPr>
          <w:ilvl w:val="0"/>
          <w:numId w:val="3"/>
        </w:numPr>
        <w:tabs>
          <w:tab w:val="left" w:pos="415"/>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Personal identification data – e.g., name, surname;</w:t>
      </w:r>
    </w:p>
    <w:p w14:paraId="2244575E" w14:textId="77777777" w:rsidR="007C1D7E" w:rsidRDefault="0021558B">
      <w:pPr>
        <w:numPr>
          <w:ilvl w:val="0"/>
          <w:numId w:val="3"/>
        </w:numPr>
        <w:tabs>
          <w:tab w:val="left" w:pos="415"/>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Contact information – e.g., address, phone number, email;</w:t>
      </w:r>
    </w:p>
    <w:p w14:paraId="32D86573" w14:textId="77777777" w:rsidR="007C1D7E" w:rsidRDefault="0021558B">
      <w:pPr>
        <w:numPr>
          <w:ilvl w:val="0"/>
          <w:numId w:val="3"/>
        </w:numPr>
        <w:tabs>
          <w:tab w:val="left" w:pos="415"/>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Occupational information – e.g., workplace, position, degree;</w:t>
      </w:r>
    </w:p>
    <w:p w14:paraId="32B8BE60" w14:textId="77777777" w:rsidR="007C1D7E" w:rsidRDefault="0021558B">
      <w:pPr>
        <w:numPr>
          <w:ilvl w:val="0"/>
          <w:numId w:val="3"/>
        </w:numPr>
        <w:tabs>
          <w:tab w:val="left" w:pos="415"/>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Identification data – e.g. IP address, username, password;</w:t>
      </w:r>
    </w:p>
    <w:p w14:paraId="746C3B4B" w14:textId="77777777" w:rsidR="007C1D7E" w:rsidRDefault="0021558B">
      <w:pPr>
        <w:numPr>
          <w:ilvl w:val="0"/>
          <w:numId w:val="3"/>
        </w:numPr>
        <w:tabs>
          <w:tab w:val="left" w:pos="415"/>
        </w:tabs>
        <w:spacing w:line="259" w:lineRule="auto"/>
        <w:ind w:left="58" w:right="128" w:firstLine="0"/>
        <w:jc w:val="both"/>
        <w:rPr>
          <w:rFonts w:ascii="Cambria" w:eastAsia="Cambria" w:hAnsi="Cambria" w:cs="Cambria"/>
          <w:sz w:val="20"/>
          <w:szCs w:val="20"/>
        </w:rPr>
      </w:pPr>
      <w:r>
        <w:rPr>
          <w:rFonts w:ascii="Cambria" w:eastAsia="Cambria" w:hAnsi="Cambria" w:cs="Cambria"/>
          <w:sz w:val="20"/>
          <w:szCs w:val="20"/>
        </w:rPr>
        <w:t>Data collected using technical means – e.g., information received via email or during research in databases;</w:t>
      </w:r>
    </w:p>
    <w:p w14:paraId="772BA4F4" w14:textId="77777777" w:rsidR="007C1D7E" w:rsidRDefault="0021558B">
      <w:pPr>
        <w:numPr>
          <w:ilvl w:val="0"/>
          <w:numId w:val="3"/>
        </w:numPr>
        <w:tabs>
          <w:tab w:val="left" w:pos="415"/>
        </w:tabs>
        <w:spacing w:after="160" w:line="259" w:lineRule="auto"/>
        <w:ind w:left="58" w:right="128" w:firstLine="0"/>
        <w:jc w:val="both"/>
        <w:rPr>
          <w:rFonts w:ascii="Cambria" w:eastAsia="Cambria" w:hAnsi="Cambria" w:cs="Cambria"/>
          <w:sz w:val="20"/>
          <w:szCs w:val="20"/>
        </w:rPr>
      </w:pPr>
      <w:r>
        <w:rPr>
          <w:rFonts w:ascii="Cambria" w:eastAsia="Cambria" w:hAnsi="Cambria" w:cs="Cambria"/>
          <w:sz w:val="20"/>
          <w:szCs w:val="20"/>
        </w:rPr>
        <w:t>Other personal data processed by the Service Provider on behalf of and under lawful instructions of the Client.</w:t>
      </w:r>
    </w:p>
    <w:p w14:paraId="60641674"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The Client confirms that the Service Provider shall not be responsible for the accuracy of the personal data received from the Client or from other persons/sources designated by the Client.</w:t>
      </w:r>
    </w:p>
    <w:p w14:paraId="7ABE5D0B" w14:textId="77777777" w:rsidR="007C1D7E" w:rsidRDefault="007C1D7E">
      <w:pPr>
        <w:tabs>
          <w:tab w:val="left" w:pos="200"/>
        </w:tabs>
        <w:ind w:right="128"/>
        <w:jc w:val="both"/>
        <w:rPr>
          <w:rFonts w:ascii="Cambria" w:eastAsia="Cambria" w:hAnsi="Cambria" w:cs="Cambria"/>
          <w:sz w:val="20"/>
          <w:szCs w:val="20"/>
        </w:rPr>
      </w:pPr>
    </w:p>
    <w:p w14:paraId="74046754"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Personal data will be erased after (1) one month following the end of the Agreement, except when such personal data shall be stored for a longer term according to applicable laws.</w:t>
      </w:r>
    </w:p>
    <w:p w14:paraId="67FCF6ED" w14:textId="77777777" w:rsidR="007C1D7E" w:rsidRDefault="007C1D7E">
      <w:pPr>
        <w:tabs>
          <w:tab w:val="left" w:pos="200"/>
        </w:tabs>
        <w:ind w:right="128"/>
        <w:jc w:val="both"/>
        <w:rPr>
          <w:rFonts w:ascii="Cambria" w:eastAsia="Cambria" w:hAnsi="Cambria" w:cs="Cambria"/>
          <w:sz w:val="20"/>
          <w:szCs w:val="20"/>
        </w:rPr>
      </w:pPr>
    </w:p>
    <w:p w14:paraId="6E99D436"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The Service Provider shall implement technical and organizational measures while processing the personal</w:t>
      </w:r>
      <w:r>
        <w:rPr>
          <w:rFonts w:ascii="Cambria" w:eastAsia="Cambria" w:hAnsi="Cambria" w:cs="Cambria"/>
          <w:sz w:val="22"/>
          <w:szCs w:val="22"/>
        </w:rPr>
        <w:t xml:space="preserve"> </w:t>
      </w:r>
      <w:r>
        <w:rPr>
          <w:rFonts w:ascii="Cambria" w:eastAsia="Cambria" w:hAnsi="Cambria" w:cs="Cambria"/>
          <w:sz w:val="20"/>
          <w:szCs w:val="20"/>
        </w:rPr>
        <w:t>data in such a manner that processing will meet the requirements of GDPR, i.e.: software of the Service Provider shall be updated regularly and equipped with firewalls and antivirus programs, backups and encryption shall be done, access to information systems of the Service Provider shall be limited and controlled, personal data shall be processed only by authorized subjects, employees and other representatives of the Service Provider authorized to process personal data shall be bound by confidentiality undertakings.</w:t>
      </w:r>
    </w:p>
    <w:p w14:paraId="1E6F0DF6" w14:textId="77777777" w:rsidR="007C1D7E" w:rsidRDefault="007C1D7E">
      <w:pPr>
        <w:tabs>
          <w:tab w:val="left" w:pos="200"/>
        </w:tabs>
        <w:ind w:right="128"/>
        <w:jc w:val="both"/>
        <w:rPr>
          <w:rFonts w:ascii="Cambria" w:eastAsia="Cambria" w:hAnsi="Cambria" w:cs="Cambria"/>
          <w:sz w:val="20"/>
          <w:szCs w:val="20"/>
        </w:rPr>
      </w:pPr>
    </w:p>
    <w:p w14:paraId="2577510A"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The Service Provider having received an inquiry, a request or a claim pertaining to processing of personal data under this Agreement of a respective government institution or a data subject shall inform the Client immediately, except for the cases when this is not allowed according to applicable laws.</w:t>
      </w:r>
    </w:p>
    <w:p w14:paraId="6D6CA8B9" w14:textId="77777777" w:rsidR="007C1D7E" w:rsidRDefault="007C1D7E">
      <w:pPr>
        <w:tabs>
          <w:tab w:val="left" w:pos="200"/>
        </w:tabs>
        <w:ind w:right="128"/>
        <w:jc w:val="both"/>
        <w:rPr>
          <w:rFonts w:ascii="Cambria" w:eastAsia="Cambria" w:hAnsi="Cambria" w:cs="Cambria"/>
          <w:sz w:val="20"/>
          <w:szCs w:val="20"/>
        </w:rPr>
      </w:pPr>
    </w:p>
    <w:p w14:paraId="7C91B4F8"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The Service Provider shall provide all information which is reasonably requested by the Client and is owned by the Service Provider, and which is needed for the respective government institutions for the inspection pertaining to processing of personal data.</w:t>
      </w:r>
    </w:p>
    <w:p w14:paraId="7CD8805B" w14:textId="77777777" w:rsidR="007C1D7E" w:rsidRDefault="007C1D7E">
      <w:pPr>
        <w:tabs>
          <w:tab w:val="left" w:pos="200"/>
        </w:tabs>
        <w:ind w:right="128"/>
        <w:jc w:val="both"/>
        <w:rPr>
          <w:rFonts w:ascii="Cambria" w:eastAsia="Cambria" w:hAnsi="Cambria" w:cs="Cambria"/>
          <w:sz w:val="20"/>
          <w:szCs w:val="20"/>
        </w:rPr>
      </w:pPr>
    </w:p>
    <w:p w14:paraId="18C1236A"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In case of suspected personal data breach, the Service Provider shall notify the Client thereof without undue delay, where feasible, not later than (48) forty-eight hours after become aware of it.</w:t>
      </w:r>
      <w:r>
        <w:rPr>
          <w:rFonts w:ascii="Cambria" w:eastAsia="Cambria" w:hAnsi="Cambria" w:cs="Cambria"/>
          <w:sz w:val="20"/>
          <w:szCs w:val="20"/>
        </w:rPr>
        <w:br/>
      </w:r>
    </w:p>
    <w:p w14:paraId="447852D4"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For a fee agreed between the Parties in advance the Service Provider shall: (i) assist the Client in performing his obligation to reply to data subjects’ requests regarding implementation of their rights established in GDPR; (ii) assist the Client in performing data protection impact assessment (when the Client consults the supervisory authority, the Service Provider, upon reasonable request of the Client, shall provide information which is owned by the Service Provider and is required for such consulting).</w:t>
      </w:r>
    </w:p>
    <w:p w14:paraId="570E6721" w14:textId="77777777" w:rsidR="007C1D7E" w:rsidRDefault="007C1D7E">
      <w:pPr>
        <w:tabs>
          <w:tab w:val="left" w:pos="200"/>
        </w:tabs>
        <w:ind w:right="128"/>
        <w:jc w:val="both"/>
        <w:rPr>
          <w:rFonts w:ascii="Cambria" w:eastAsia="Cambria" w:hAnsi="Cambria" w:cs="Cambria"/>
          <w:sz w:val="20"/>
          <w:szCs w:val="20"/>
        </w:rPr>
      </w:pPr>
    </w:p>
    <w:p w14:paraId="5E974E34" w14:textId="77777777" w:rsidR="007C1D7E" w:rsidRDefault="0021558B">
      <w:pPr>
        <w:tabs>
          <w:tab w:val="left" w:pos="200"/>
        </w:tabs>
        <w:ind w:right="128"/>
        <w:jc w:val="both"/>
        <w:rPr>
          <w:rFonts w:ascii="Cambria" w:eastAsia="Cambria" w:hAnsi="Cambria" w:cs="Cambria"/>
          <w:sz w:val="20"/>
          <w:szCs w:val="20"/>
        </w:rPr>
      </w:pPr>
      <w:r>
        <w:rPr>
          <w:rFonts w:ascii="Cambria" w:eastAsia="Cambria" w:hAnsi="Cambria" w:cs="Cambria"/>
          <w:sz w:val="20"/>
          <w:szCs w:val="20"/>
        </w:rPr>
        <w:tab/>
      </w:r>
      <w:r>
        <w:rPr>
          <w:rFonts w:ascii="Cambria" w:eastAsia="Cambria" w:hAnsi="Cambria" w:cs="Cambria"/>
          <w:sz w:val="20"/>
          <w:szCs w:val="20"/>
        </w:rPr>
        <w:tab/>
        <w:t>The Client hereby grants general authorization for the Service Provider to engage other processors (sub-processors) for implementation of the Agreement and for processing of personal data. The Service Provider shall notify the Client (5) five working days in advance about all planned changes pertaining to engagement of new sub-processors. In such cases the Client has a right to object to such changes by notifying the Service Provider within (3) three working days after submission of the Service Provider’s notification. If the Client does not provide any objections to the Service Provider within the said term, it shall be considered that the Client agrees to such changes.</w:t>
      </w:r>
    </w:p>
    <w:p w14:paraId="6DA00C56" w14:textId="77777777" w:rsidR="007C1D7E" w:rsidRDefault="007C1D7E">
      <w:pPr>
        <w:tabs>
          <w:tab w:val="left" w:pos="200"/>
        </w:tabs>
        <w:ind w:right="128"/>
        <w:jc w:val="both"/>
        <w:rPr>
          <w:rFonts w:ascii="Cambria" w:eastAsia="Cambria" w:hAnsi="Cambria" w:cs="Cambria"/>
          <w:sz w:val="20"/>
          <w:szCs w:val="20"/>
        </w:rPr>
      </w:pPr>
      <w:bookmarkStart w:id="2" w:name="_heading=h.oxehnr62bc3c" w:colFirst="0" w:colLast="0"/>
      <w:bookmarkEnd w:id="2"/>
    </w:p>
    <w:p w14:paraId="30062B37" w14:textId="77777777" w:rsidR="007C1D7E" w:rsidRDefault="007C1D7E">
      <w:pPr>
        <w:tabs>
          <w:tab w:val="left" w:pos="709"/>
        </w:tabs>
        <w:spacing w:after="160" w:line="276" w:lineRule="auto"/>
        <w:ind w:right="128"/>
        <w:jc w:val="both"/>
        <w:rPr>
          <w:rFonts w:ascii="Cambria" w:eastAsia="Cambria" w:hAnsi="Cambria" w:cs="Cambria"/>
          <w:sz w:val="20"/>
          <w:szCs w:val="20"/>
        </w:rPr>
      </w:pPr>
    </w:p>
    <w:p w14:paraId="77B4AD13" w14:textId="77777777" w:rsidR="007C1D7E" w:rsidRDefault="007C1D7E">
      <w:pPr>
        <w:tabs>
          <w:tab w:val="left" w:pos="709"/>
        </w:tabs>
        <w:spacing w:after="160" w:line="276" w:lineRule="auto"/>
        <w:ind w:right="128"/>
        <w:jc w:val="both"/>
        <w:rPr>
          <w:rFonts w:ascii="Cambria" w:eastAsia="Cambria" w:hAnsi="Cambria" w:cs="Cambria"/>
          <w:sz w:val="20"/>
          <w:szCs w:val="20"/>
        </w:rPr>
      </w:pPr>
    </w:p>
    <w:tbl>
      <w:tblPr>
        <w:tblStyle w:val="aa"/>
        <w:tblW w:w="9166" w:type="dxa"/>
        <w:tblLayout w:type="fixed"/>
        <w:tblLook w:val="0000" w:firstRow="0" w:lastRow="0" w:firstColumn="0" w:lastColumn="0" w:noHBand="0" w:noVBand="0"/>
      </w:tblPr>
      <w:tblGrid>
        <w:gridCol w:w="4583"/>
        <w:gridCol w:w="4583"/>
      </w:tblGrid>
      <w:tr w:rsidR="007C1D7E" w14:paraId="0C3DEA89" w14:textId="77777777">
        <w:trPr>
          <w:trHeight w:val="600"/>
        </w:trPr>
        <w:tc>
          <w:tcPr>
            <w:tcW w:w="4583" w:type="dxa"/>
          </w:tcPr>
          <w:p w14:paraId="6960B8C5"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highlight w:val="yellow"/>
              </w:rPr>
            </w:pPr>
            <w:r>
              <w:rPr>
                <w:rFonts w:ascii="Cambria" w:eastAsia="Cambria" w:hAnsi="Cambria" w:cs="Cambria"/>
                <w:color w:val="000000"/>
                <w:sz w:val="20"/>
                <w:szCs w:val="20"/>
                <w:highlight w:val="yellow"/>
              </w:rPr>
              <w:t>Client</w:t>
            </w:r>
          </w:p>
          <w:p w14:paraId="3E9D5BF9"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35DE2358"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25FEB02D" w14:textId="77777777" w:rsidR="007C1D7E" w:rsidRDefault="007C1D7E">
            <w:pPr>
              <w:tabs>
                <w:tab w:val="left" w:pos="567"/>
                <w:tab w:val="left" w:pos="3402"/>
                <w:tab w:val="right" w:pos="8505"/>
              </w:tabs>
              <w:spacing w:line="276" w:lineRule="auto"/>
              <w:ind w:right="128"/>
              <w:rPr>
                <w:rFonts w:ascii="Cambria" w:eastAsia="Cambria" w:hAnsi="Cambria" w:cs="Cambria"/>
                <w:color w:val="000000"/>
                <w:sz w:val="20"/>
                <w:szCs w:val="20"/>
                <w:highlight w:val="yellow"/>
              </w:rPr>
            </w:pPr>
          </w:p>
          <w:p w14:paraId="36B97395" w14:textId="77777777" w:rsidR="007C1D7E" w:rsidRDefault="007C1D7E">
            <w:pPr>
              <w:keepLines/>
              <w:tabs>
                <w:tab w:val="left" w:pos="567"/>
                <w:tab w:val="left" w:pos="3402"/>
                <w:tab w:val="right" w:pos="8505"/>
              </w:tabs>
              <w:spacing w:line="276" w:lineRule="auto"/>
              <w:ind w:right="128"/>
              <w:jc w:val="both"/>
              <w:rPr>
                <w:rFonts w:ascii="Cambria" w:eastAsia="Cambria" w:hAnsi="Cambria" w:cs="Cambria"/>
                <w:color w:val="000000"/>
                <w:sz w:val="20"/>
                <w:szCs w:val="20"/>
              </w:rPr>
            </w:pPr>
          </w:p>
          <w:p w14:paraId="0393EEAE" w14:textId="77777777" w:rsidR="007C1D7E" w:rsidRDefault="007C1D7E">
            <w:pPr>
              <w:keepLines/>
              <w:tabs>
                <w:tab w:val="left" w:pos="567"/>
                <w:tab w:val="left" w:pos="3402"/>
                <w:tab w:val="right" w:pos="8505"/>
              </w:tabs>
              <w:spacing w:line="276" w:lineRule="auto"/>
              <w:ind w:right="128"/>
              <w:jc w:val="both"/>
              <w:rPr>
                <w:rFonts w:ascii="Cambria" w:eastAsia="Cambria" w:hAnsi="Cambria" w:cs="Cambria"/>
                <w:color w:val="000000"/>
                <w:sz w:val="20"/>
                <w:szCs w:val="20"/>
              </w:rPr>
            </w:pPr>
          </w:p>
        </w:tc>
        <w:tc>
          <w:tcPr>
            <w:tcW w:w="4583" w:type="dxa"/>
          </w:tcPr>
          <w:p w14:paraId="5D382AA1"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Service Provider</w:t>
            </w:r>
          </w:p>
          <w:p w14:paraId="4EC83CC7" w14:textId="77777777" w:rsidR="007C1D7E" w:rsidRDefault="0021558B">
            <w:pPr>
              <w:tabs>
                <w:tab w:val="left" w:pos="567"/>
                <w:tab w:val="left" w:pos="3402"/>
                <w:tab w:val="right" w:pos="8505"/>
              </w:tabs>
              <w:spacing w:after="120"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Lingua Intellegens, LLC</w:t>
            </w:r>
          </w:p>
          <w:p w14:paraId="72D07369" w14:textId="77777777" w:rsidR="007C1D7E" w:rsidRDefault="007C1D7E">
            <w:pPr>
              <w:tabs>
                <w:tab w:val="left" w:pos="567"/>
                <w:tab w:val="left" w:pos="3402"/>
                <w:tab w:val="right" w:pos="8505"/>
              </w:tabs>
              <w:spacing w:after="120" w:line="276" w:lineRule="auto"/>
              <w:ind w:right="128"/>
              <w:rPr>
                <w:rFonts w:ascii="Cambria" w:eastAsia="Cambria" w:hAnsi="Cambria" w:cs="Cambria"/>
                <w:color w:val="000000"/>
                <w:sz w:val="20"/>
                <w:szCs w:val="20"/>
              </w:rPr>
            </w:pPr>
          </w:p>
          <w:p w14:paraId="41E86A2C" w14:textId="77777777" w:rsidR="007C1D7E" w:rsidRDefault="0021558B">
            <w:pPr>
              <w:tabs>
                <w:tab w:val="left" w:pos="567"/>
                <w:tab w:val="left" w:pos="3402"/>
                <w:tab w:val="right" w:pos="8505"/>
              </w:tabs>
              <w:spacing w:line="276" w:lineRule="auto"/>
              <w:ind w:right="128"/>
              <w:rPr>
                <w:rFonts w:ascii="Cambria" w:eastAsia="Cambria" w:hAnsi="Cambria" w:cs="Cambria"/>
                <w:color w:val="000000"/>
                <w:sz w:val="20"/>
                <w:szCs w:val="20"/>
              </w:rPr>
            </w:pPr>
            <w:r>
              <w:rPr>
                <w:rFonts w:ascii="Cambria" w:eastAsia="Cambria" w:hAnsi="Cambria" w:cs="Cambria"/>
                <w:color w:val="000000"/>
                <w:sz w:val="20"/>
                <w:szCs w:val="20"/>
              </w:rPr>
              <w:t>Director Kotryna Tomkeviciute</w:t>
            </w:r>
          </w:p>
        </w:tc>
      </w:tr>
    </w:tbl>
    <w:p w14:paraId="3E5B475C"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4ECD7A19"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3BD1FD94"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01F9F135"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6CA73AF2"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668D34B3"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522B9F40"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6E894D7D"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246E9C30"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426AA6F1"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10934CA9"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7DF0B274"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15FAFBC9"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589A1A5F"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2AF28BE0"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35ECD04A"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58FF7E66"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5CA0EEE3"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24F96085"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p w14:paraId="0DF890EE" w14:textId="77777777" w:rsidR="007C1D7E" w:rsidRDefault="007C1D7E">
      <w:pPr>
        <w:tabs>
          <w:tab w:val="left" w:pos="567"/>
          <w:tab w:val="center" w:pos="2268"/>
          <w:tab w:val="left" w:pos="3402"/>
          <w:tab w:val="center" w:pos="6237"/>
          <w:tab w:val="right" w:pos="8505"/>
        </w:tabs>
        <w:spacing w:after="160" w:line="276" w:lineRule="auto"/>
        <w:ind w:right="128"/>
        <w:rPr>
          <w:rFonts w:ascii="Cambria" w:eastAsia="Cambria" w:hAnsi="Cambria" w:cs="Cambria"/>
          <w:sz w:val="20"/>
          <w:szCs w:val="20"/>
        </w:rPr>
      </w:pPr>
    </w:p>
    <w:sectPr w:rsidR="007C1D7E">
      <w:headerReference w:type="default" r:id="rId8"/>
      <w:footerReference w:type="even" r:id="rId9"/>
      <w:footerReference w:type="default" r:id="rId10"/>
      <w:pgSz w:w="11906" w:h="16838"/>
      <w:pgMar w:top="1440" w:right="861" w:bottom="1133" w:left="1009" w:header="708" w:footer="4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FD0A" w14:textId="77777777" w:rsidR="002C1AC6" w:rsidRDefault="0021558B">
      <w:r>
        <w:separator/>
      </w:r>
    </w:p>
  </w:endnote>
  <w:endnote w:type="continuationSeparator" w:id="0">
    <w:p w14:paraId="523EEA86" w14:textId="77777777" w:rsidR="002C1AC6" w:rsidRDefault="0021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A0DA" w14:textId="77777777" w:rsidR="007C1D7E" w:rsidRDefault="0021558B">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sidR="00EE7A1B">
      <w:rPr>
        <w:color w:val="000000"/>
      </w:rPr>
      <w:fldChar w:fldCharType="separate"/>
    </w:r>
    <w:r>
      <w:rPr>
        <w:color w:val="000000"/>
      </w:rPr>
      <w:fldChar w:fldCharType="end"/>
    </w:r>
  </w:p>
  <w:p w14:paraId="6558B9A3" w14:textId="77777777" w:rsidR="007C1D7E" w:rsidRDefault="007C1D7E">
    <w:pPr>
      <w:pBdr>
        <w:top w:val="nil"/>
        <w:left w:val="nil"/>
        <w:bottom w:val="nil"/>
        <w:right w:val="nil"/>
        <w:between w:val="nil"/>
      </w:pBdr>
      <w:tabs>
        <w:tab w:val="center" w:pos="4536"/>
        <w:tab w:val="right" w:pos="9072"/>
      </w:tabs>
      <w:ind w:right="360"/>
      <w:rPr>
        <w:color w:val="000000"/>
      </w:rPr>
    </w:pPr>
  </w:p>
  <w:p w14:paraId="17D69861" w14:textId="77777777" w:rsidR="007C1D7E" w:rsidRDefault="007C1D7E"/>
  <w:p w14:paraId="1EA085E0" w14:textId="77777777" w:rsidR="007C1D7E" w:rsidRDefault="007C1D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0485" w14:textId="77777777" w:rsidR="007C1D7E" w:rsidRDefault="007C1D7E">
    <w:pPr>
      <w:pBdr>
        <w:top w:val="single" w:sz="4" w:space="1" w:color="000000"/>
      </w:pBdr>
      <w:jc w:val="center"/>
      <w:rPr>
        <w:rFonts w:ascii="Tahoma" w:eastAsia="Tahoma" w:hAnsi="Tahoma" w:cs="Tahoma"/>
        <w:sz w:val="20"/>
        <w:szCs w:val="20"/>
      </w:rPr>
    </w:pPr>
  </w:p>
  <w:p w14:paraId="0497399D" w14:textId="77777777" w:rsidR="007C1D7E" w:rsidRDefault="0021558B">
    <w:pPr>
      <w:tabs>
        <w:tab w:val="right" w:pos="8789"/>
      </w:tabs>
      <w:spacing w:before="120"/>
      <w:ind w:right="128"/>
      <w:jc w:val="right"/>
      <w:rPr>
        <w:rFonts w:ascii="Tahoma" w:eastAsia="Tahoma" w:hAnsi="Tahoma" w:cs="Tahoma"/>
        <w:sz w:val="18"/>
        <w:szCs w:val="18"/>
      </w:rPr>
    </w:pPr>
    <w:r>
      <w:rPr>
        <w:rFonts w:ascii="Tahoma" w:eastAsia="Tahoma" w:hAnsi="Tahoma" w:cs="Tahoma"/>
        <w:sz w:val="18"/>
        <w:szCs w:val="18"/>
      </w:rPr>
      <w:fldChar w:fldCharType="begin"/>
    </w:r>
    <w:r>
      <w:rPr>
        <w:rFonts w:ascii="Tahoma" w:eastAsia="Tahoma" w:hAnsi="Tahoma" w:cs="Tahoma"/>
        <w:sz w:val="18"/>
        <w:szCs w:val="18"/>
      </w:rPr>
      <w:instrText>PAGE</w:instrText>
    </w:r>
    <w:r>
      <w:rPr>
        <w:rFonts w:ascii="Tahoma" w:eastAsia="Tahoma" w:hAnsi="Tahoma" w:cs="Tahoma"/>
        <w:sz w:val="18"/>
        <w:szCs w:val="18"/>
      </w:rPr>
      <w:fldChar w:fldCharType="separate"/>
    </w:r>
    <w:r>
      <w:rPr>
        <w:rFonts w:ascii="Tahoma" w:eastAsia="Tahoma" w:hAnsi="Tahoma" w:cs="Tahoma"/>
        <w:noProof/>
        <w:sz w:val="18"/>
        <w:szCs w:val="18"/>
      </w:rPr>
      <w:t>1</w:t>
    </w:r>
    <w:r>
      <w:rPr>
        <w:rFonts w:ascii="Tahoma" w:eastAsia="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CC04C" w14:textId="77777777" w:rsidR="002C1AC6" w:rsidRDefault="0021558B">
      <w:r>
        <w:separator/>
      </w:r>
    </w:p>
  </w:footnote>
  <w:footnote w:type="continuationSeparator" w:id="0">
    <w:p w14:paraId="59F6A586" w14:textId="77777777" w:rsidR="002C1AC6" w:rsidRDefault="00215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94D4" w14:textId="77777777" w:rsidR="007C1D7E" w:rsidRDefault="0021558B">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18F6017D" wp14:editId="30A3E8CF">
          <wp:simplePos x="0" y="0"/>
          <wp:positionH relativeFrom="column">
            <wp:posOffset>5038725</wp:posOffset>
          </wp:positionH>
          <wp:positionV relativeFrom="paragraph">
            <wp:posOffset>-97152</wp:posOffset>
          </wp:positionV>
          <wp:extent cx="1194023" cy="352779"/>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4023" cy="35277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4FBD"/>
    <w:multiLevelType w:val="multilevel"/>
    <w:tmpl w:val="9B6883AE"/>
    <w:lvl w:ilvl="0">
      <w:start w:val="1"/>
      <w:numFmt w:val="decimal"/>
      <w:lvlText w:val="%1"/>
      <w:lvlJc w:val="left"/>
      <w:pPr>
        <w:ind w:left="420" w:hanging="420"/>
      </w:pPr>
    </w:lvl>
    <w:lvl w:ilvl="1">
      <w:start w:val="1"/>
      <w:numFmt w:val="decimal"/>
      <w:lvlText w:val="%1.%2"/>
      <w:lvlJc w:val="left"/>
      <w:pPr>
        <w:ind w:left="704" w:hanging="417"/>
      </w:pPr>
    </w:lvl>
    <w:lvl w:ilvl="2">
      <w:start w:val="1"/>
      <w:numFmt w:val="decimal"/>
      <w:lvlText w:val="%1.%2.%3"/>
      <w:lvlJc w:val="left"/>
      <w:pPr>
        <w:ind w:left="1288" w:hanging="719"/>
      </w:pPr>
      <w:rPr>
        <w:sz w:val="16"/>
        <w:szCs w:val="16"/>
      </w:rPr>
    </w:lvl>
    <w:lvl w:ilvl="3">
      <w:start w:val="1"/>
      <w:numFmt w:val="decimal"/>
      <w:lvlText w:val="%1.%2.%3.%4"/>
      <w:lvlJc w:val="left"/>
      <w:pPr>
        <w:ind w:left="1572" w:hanging="720"/>
      </w:pPr>
    </w:lvl>
    <w:lvl w:ilvl="4">
      <w:start w:val="1"/>
      <w:numFmt w:val="decimal"/>
      <w:lvlText w:val="%1.%2.%3.%4.%5"/>
      <w:lvlJc w:val="left"/>
      <w:pPr>
        <w:ind w:left="1856" w:hanging="72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16D657AE"/>
    <w:multiLevelType w:val="multilevel"/>
    <w:tmpl w:val="F7DC7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C57464"/>
    <w:multiLevelType w:val="multilevel"/>
    <w:tmpl w:val="C01A2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408341D"/>
    <w:multiLevelType w:val="multilevel"/>
    <w:tmpl w:val="F7029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2418724">
    <w:abstractNumId w:val="2"/>
  </w:num>
  <w:num w:numId="2" w16cid:durableId="1035157020">
    <w:abstractNumId w:val="0"/>
  </w:num>
  <w:num w:numId="3" w16cid:durableId="414786371">
    <w:abstractNumId w:val="1"/>
  </w:num>
  <w:num w:numId="4" w16cid:durableId="1084566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D7E"/>
    <w:rsid w:val="0021558B"/>
    <w:rsid w:val="002C1AC6"/>
    <w:rsid w:val="007C1D7E"/>
    <w:rsid w:val="00EE7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E2E6"/>
  <w15:docId w15:val="{4843E27C-5298-4521-85A4-572EA861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567"/>
        <w:tab w:val="left" w:pos="3402"/>
      </w:tabs>
      <w:spacing w:after="240"/>
      <w:jc w:val="both"/>
      <w:outlineLvl w:val="0"/>
    </w:pPr>
    <w:rPr>
      <w:b/>
      <w:u w:val="single"/>
    </w:rPr>
  </w:style>
  <w:style w:type="paragraph" w:styleId="Heading2">
    <w:name w:val="heading 2"/>
    <w:basedOn w:val="Normal"/>
    <w:next w:val="Normal"/>
    <w:uiPriority w:val="9"/>
    <w:semiHidden/>
    <w:unhideWhenUsed/>
    <w:qFormat/>
    <w:pPr>
      <w:keepNext/>
      <w:tabs>
        <w:tab w:val="left" w:pos="567"/>
        <w:tab w:val="left" w:pos="3402"/>
        <w:tab w:val="right" w:pos="8505"/>
      </w:tabs>
      <w:spacing w:after="240"/>
      <w:outlineLvl w:val="1"/>
    </w:pPr>
    <w:rPr>
      <w:b/>
      <w:u w:val="single"/>
    </w:rPr>
  </w:style>
  <w:style w:type="paragraph" w:styleId="Heading3">
    <w:name w:val="heading 3"/>
    <w:basedOn w:val="Normal"/>
    <w:next w:val="Normal"/>
    <w:uiPriority w:val="9"/>
    <w:semiHidden/>
    <w:unhideWhenUsed/>
    <w:qFormat/>
    <w:pPr>
      <w:keepNext/>
      <w:tabs>
        <w:tab w:val="right" w:pos="9072"/>
      </w:tabs>
      <w:ind w:left="786" w:hanging="426"/>
      <w:jc w:val="both"/>
      <w:outlineLvl w:val="2"/>
    </w:pPr>
  </w:style>
  <w:style w:type="paragraph" w:styleId="Heading4">
    <w:name w:val="heading 4"/>
    <w:basedOn w:val="Normal"/>
    <w:next w:val="Normal"/>
    <w:uiPriority w:val="9"/>
    <w:semiHidden/>
    <w:unhideWhenUsed/>
    <w:qFormat/>
    <w:pPr>
      <w:keepNext/>
      <w:tabs>
        <w:tab w:val="right" w:pos="567"/>
        <w:tab w:val="left" w:pos="3402"/>
        <w:tab w:val="right" w:pos="7513"/>
        <w:tab w:val="right" w:pos="8222"/>
      </w:tabs>
      <w:ind w:left="851"/>
      <w:outlineLvl w:val="3"/>
    </w:pPr>
  </w:style>
  <w:style w:type="paragraph" w:styleId="Heading5">
    <w:name w:val="heading 5"/>
    <w:basedOn w:val="Normal"/>
    <w:next w:val="Normal"/>
    <w:uiPriority w:val="9"/>
    <w:semiHidden/>
    <w:unhideWhenUsed/>
    <w:qFormat/>
    <w:pPr>
      <w:keepNext/>
      <w:ind w:left="567" w:hanging="567"/>
      <w:outlineLvl w:val="4"/>
    </w:pPr>
    <w:rPr>
      <w:b/>
      <w:u w:val="single"/>
    </w:rPr>
  </w:style>
  <w:style w:type="paragraph" w:styleId="Heading6">
    <w:name w:val="heading 6"/>
    <w:basedOn w:val="Normal"/>
    <w:next w:val="Normal"/>
    <w:uiPriority w:val="9"/>
    <w:semiHidden/>
    <w:unhideWhenUsed/>
    <w:qFormat/>
    <w:pPr>
      <w:keepNext/>
      <w:outlineLvl w:val="5"/>
    </w:pPr>
    <w:rPr>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366091"/>
      <w:sz w:val="22"/>
      <w:szCs w:val="22"/>
    </w:rPr>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3">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rPr>
      <w:rFonts w:ascii="Calibri" w:eastAsia="Calibri" w:hAnsi="Calibri" w:cs="Calibri"/>
      <w:color w:val="366091"/>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swKQoaKrK8TIhScEeepBPuJ6aw==">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4082</Words>
  <Characters>23274</Characters>
  <Application>Microsoft Office Word</Application>
  <DocSecurity>0</DocSecurity>
  <Lines>193</Lines>
  <Paragraphs>54</Paragraphs>
  <ScaleCrop>false</ScaleCrop>
  <Company>Immaculata University</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Rinaldi, Kerri</dc:creator>
  <cp:lastModifiedBy>Aclo, Sergio</cp:lastModifiedBy>
  <cp:revision>2</cp:revision>
  <dcterms:created xsi:type="dcterms:W3CDTF">2022-06-21T11:06:00Z</dcterms:created>
  <dcterms:modified xsi:type="dcterms:W3CDTF">2022-06-21T11:06:00Z</dcterms:modified>
</cp:coreProperties>
</file>